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60C8" w14:textId="5CAABE34" w:rsidR="006077F7" w:rsidRPr="000D55A6" w:rsidRDefault="00AF62C1" w:rsidP="008A483F">
      <w:pPr>
        <w:pStyle w:val="Headline"/>
      </w:pPr>
      <w:r>
        <w:t xml:space="preserve">CBRE Shopping Centre Index and two related surveys </w:t>
      </w:r>
      <w:r w:rsidR="001A36EB">
        <w:br/>
      </w:r>
      <w:r>
        <w:t>reveal the current condition of domestic retail</w:t>
      </w:r>
      <w:r>
        <w:br/>
      </w:r>
    </w:p>
    <w:p w14:paraId="5DE4D1F2" w14:textId="453467AC" w:rsidR="02C1C5E2" w:rsidRPr="000D55A6" w:rsidRDefault="00620EF8" w:rsidP="02C1C5E2">
      <w:pPr>
        <w:pStyle w:val="Headline"/>
        <w:numPr>
          <w:ilvl w:val="0"/>
          <w:numId w:val="1"/>
        </w:numPr>
        <w:rPr>
          <w:rFonts w:asciiTheme="minorHAnsi" w:eastAsiaTheme="minorEastAsia" w:hAnsiTheme="minorHAnsi" w:cstheme="minorBidi"/>
          <w:color w:val="425153"/>
          <w:sz w:val="21"/>
          <w:szCs w:val="21"/>
        </w:rPr>
      </w:pPr>
      <w:r>
        <w:rPr>
          <w:i/>
          <w:color w:val="425153"/>
          <w:sz w:val="21"/>
        </w:rPr>
        <w:t>The footfall in regional shopping centres increased by 23.5% year-on-year</w:t>
      </w:r>
    </w:p>
    <w:p w14:paraId="2537D449" w14:textId="067A0A21" w:rsidR="00AF62C1" w:rsidRPr="000D55A6" w:rsidRDefault="00AF62C1" w:rsidP="02C1C5E2">
      <w:pPr>
        <w:pStyle w:val="Headline"/>
        <w:numPr>
          <w:ilvl w:val="0"/>
          <w:numId w:val="1"/>
        </w:numPr>
        <w:rPr>
          <w:color w:val="425153"/>
          <w:sz w:val="21"/>
          <w:szCs w:val="21"/>
        </w:rPr>
      </w:pPr>
      <w:r>
        <w:rPr>
          <w:i/>
          <w:color w:val="425153"/>
          <w:sz w:val="21"/>
        </w:rPr>
        <w:t xml:space="preserve">The dynamics of the development of the average basket slowed. In spite of this, there was still a year-on-year increase of 5.9% </w:t>
      </w:r>
    </w:p>
    <w:p w14:paraId="327AFFB5" w14:textId="040A6960" w:rsidR="02C1C5E2" w:rsidRPr="000D55A6" w:rsidRDefault="003E3C2F" w:rsidP="02C1C5E2">
      <w:pPr>
        <w:pStyle w:val="Headline"/>
        <w:numPr>
          <w:ilvl w:val="0"/>
          <w:numId w:val="1"/>
        </w:numPr>
        <w:rPr>
          <w:color w:val="425153"/>
          <w:sz w:val="21"/>
          <w:szCs w:val="21"/>
        </w:rPr>
      </w:pPr>
      <w:r>
        <w:rPr>
          <w:i/>
          <w:color w:val="425153"/>
          <w:sz w:val="21"/>
        </w:rPr>
        <w:t>Turnovers recorded significant growth, both year-on-year (+31.5%) and compared to 2019 (+11.1%)</w:t>
      </w:r>
    </w:p>
    <w:p w14:paraId="59BD79C0" w14:textId="05E38C6A" w:rsidR="02C1C5E2" w:rsidRPr="000D55A6" w:rsidRDefault="003E3C2F" w:rsidP="02C1C5E2">
      <w:pPr>
        <w:pStyle w:val="Headline"/>
        <w:numPr>
          <w:ilvl w:val="0"/>
          <w:numId w:val="1"/>
        </w:numPr>
        <w:rPr>
          <w:color w:val="425153"/>
          <w:sz w:val="21"/>
          <w:szCs w:val="21"/>
        </w:rPr>
      </w:pPr>
      <w:r>
        <w:rPr>
          <w:i/>
          <w:color w:val="425153"/>
          <w:sz w:val="21"/>
        </w:rPr>
        <w:t>The vacancy rate decreased slightly from 4.4% in 2021 to 4.1% in 2022</w:t>
      </w:r>
    </w:p>
    <w:p w14:paraId="57564B1E" w14:textId="34062A0D" w:rsidR="008A3BF8" w:rsidRPr="000D55A6" w:rsidRDefault="008A3BF8" w:rsidP="008A3BF8">
      <w:pPr>
        <w:pStyle w:val="Headline"/>
        <w:numPr>
          <w:ilvl w:val="0"/>
          <w:numId w:val="1"/>
        </w:numPr>
        <w:rPr>
          <w:color w:val="425153"/>
          <w:sz w:val="21"/>
          <w:szCs w:val="21"/>
        </w:rPr>
      </w:pPr>
      <w:r>
        <w:rPr>
          <w:i/>
          <w:color w:val="425153"/>
          <w:sz w:val="21"/>
        </w:rPr>
        <w:t>Rent increased by 4.9% year-on-year</w:t>
      </w:r>
    </w:p>
    <w:p w14:paraId="7EE08514" w14:textId="1740AB53" w:rsidR="02C1C5E2" w:rsidRPr="000D55A6" w:rsidRDefault="02C1C5E2" w:rsidP="02C1C5E2">
      <w:pPr>
        <w:pStyle w:val="Headline"/>
        <w:rPr>
          <w:color w:val="425153"/>
        </w:rPr>
      </w:pPr>
    </w:p>
    <w:p w14:paraId="22E28C40" w14:textId="633AC329" w:rsidR="00F1014E" w:rsidRPr="000D55A6" w:rsidRDefault="065FC1AA" w:rsidP="00784D2C">
      <w:pPr>
        <w:pStyle w:val="BodyCopy"/>
        <w:jc w:val="both"/>
      </w:pPr>
      <w:r>
        <w:rPr>
          <w:b/>
        </w:rPr>
        <w:t xml:space="preserve">Prague – 1 June 2023 </w:t>
      </w:r>
      <w:r>
        <w:t xml:space="preserve">– </w:t>
      </w:r>
      <w:r w:rsidR="001A36EB">
        <w:t>A</w:t>
      </w:r>
      <w:r>
        <w:t>lthough anti-pandemic measures were still lingering on the Czech retail market at the beginning of last year, an early return to normal was expected. However, the conflict in Ukraine has fundamentally influenced further economic development, especially in the countries of Central Europe, including the Czech Republic. The rapid rise in prices (inflation increased by 15.1% year-on-year) and</w:t>
      </w:r>
      <w:r w:rsidR="008623A8">
        <w:t> </w:t>
      </w:r>
      <w:r>
        <w:t xml:space="preserve">energy expenses were met by a further decline in already weakened customer confidence. How did this affect shopping centres in the Czech Republic? And what is the current </w:t>
      </w:r>
      <w:r w:rsidR="001A36EB">
        <w:t xml:space="preserve">sentiment </w:t>
      </w:r>
      <w:r>
        <w:t xml:space="preserve">on the market not only among customers, but also the </w:t>
      </w:r>
      <w:r w:rsidR="001A36EB">
        <w:t>retailers</w:t>
      </w:r>
      <w:r>
        <w:t xml:space="preserve"> themselves? CBRE, the leader in the </w:t>
      </w:r>
      <w:r w:rsidR="001A36EB">
        <w:t>retail leasing and</w:t>
      </w:r>
      <w:r w:rsidR="008623A8">
        <w:t> </w:t>
      </w:r>
      <w:r w:rsidR="001A36EB">
        <w:t xml:space="preserve">property </w:t>
      </w:r>
      <w:r>
        <w:t xml:space="preserve">management, is bringing answers to these questions and more in its </w:t>
      </w:r>
      <w:r w:rsidR="001A36EB">
        <w:t>11</w:t>
      </w:r>
      <w:r w:rsidR="001A36EB" w:rsidRPr="00E00901">
        <w:rPr>
          <w:vertAlign w:val="superscript"/>
        </w:rPr>
        <w:t>th</w:t>
      </w:r>
      <w:r w:rsidR="001A36EB">
        <w:t xml:space="preserve"> edition of</w:t>
      </w:r>
      <w:r w:rsidR="008623A8">
        <w:t> </w:t>
      </w:r>
      <w:r w:rsidR="001A36EB">
        <w:t>the</w:t>
      </w:r>
      <w:r w:rsidR="008623A8">
        <w:t> </w:t>
      </w:r>
      <w:r>
        <w:t>Shopping Centre Index analysis, which is complemented by two current surveys focused on</w:t>
      </w:r>
      <w:r w:rsidR="008623A8">
        <w:t> </w:t>
      </w:r>
      <w:r>
        <w:t>the</w:t>
      </w:r>
      <w:r w:rsidR="008623A8">
        <w:t> </w:t>
      </w:r>
      <w:r>
        <w:t xml:space="preserve">development of customer behaviour and expectations on the part of retailers. </w:t>
      </w:r>
    </w:p>
    <w:p w14:paraId="5CC104FD" w14:textId="77777777" w:rsidR="00F1014E" w:rsidRPr="000D55A6" w:rsidRDefault="00F1014E" w:rsidP="00784D2C">
      <w:pPr>
        <w:pStyle w:val="BodyCopy"/>
        <w:jc w:val="both"/>
      </w:pPr>
    </w:p>
    <w:p w14:paraId="76DE528B" w14:textId="197C32A4" w:rsidR="00BF1578" w:rsidRPr="00C64CA6" w:rsidRDefault="00F748AB" w:rsidP="00BF1578">
      <w:pPr>
        <w:pStyle w:val="BodyCopy"/>
        <w:jc w:val="both"/>
      </w:pPr>
      <w:r>
        <w:rPr>
          <w:i/>
        </w:rPr>
        <w:t>“Despite numerous forecasts of major retail restructuring after the Covid-19 pandemic, the structure of</w:t>
      </w:r>
      <w:r w:rsidR="008623A8">
        <w:rPr>
          <w:i/>
        </w:rPr>
        <w:t> </w:t>
      </w:r>
      <w:r>
        <w:rPr>
          <w:i/>
        </w:rPr>
        <w:t xml:space="preserve">shopping centres and the distribution of individual retail sectors have remained essentially unchanged. Fashion and </w:t>
      </w:r>
      <w:r w:rsidR="00D102CE">
        <w:rPr>
          <w:i/>
        </w:rPr>
        <w:t>F</w:t>
      </w:r>
      <w:r w:rsidR="00855A64">
        <w:rPr>
          <w:i/>
        </w:rPr>
        <w:t xml:space="preserve">ood </w:t>
      </w:r>
      <w:r>
        <w:rPr>
          <w:i/>
        </w:rPr>
        <w:t xml:space="preserve">continue to dominate the overall area with about 25%, followed by 10% </w:t>
      </w:r>
      <w:r w:rsidR="00171165">
        <w:rPr>
          <w:i/>
        </w:rPr>
        <w:t xml:space="preserve">in </w:t>
      </w:r>
      <w:r w:rsidR="00D102CE">
        <w:rPr>
          <w:i/>
        </w:rPr>
        <w:t>S</w:t>
      </w:r>
      <w:r>
        <w:rPr>
          <w:i/>
        </w:rPr>
        <w:t>pecial</w:t>
      </w:r>
      <w:r w:rsidR="00855A64">
        <w:rPr>
          <w:i/>
        </w:rPr>
        <w:t>ty</w:t>
      </w:r>
      <w:r>
        <w:rPr>
          <w:i/>
        </w:rPr>
        <w:t xml:space="preserve"> </w:t>
      </w:r>
      <w:r w:rsidR="00D102CE">
        <w:rPr>
          <w:i/>
        </w:rPr>
        <w:t>R</w:t>
      </w:r>
      <w:r>
        <w:rPr>
          <w:i/>
        </w:rPr>
        <w:t>etail</w:t>
      </w:r>
      <w:r w:rsidR="008F5860" w:rsidRPr="00C64CA6">
        <w:rPr>
          <w:rStyle w:val="Znakapoznpodarou"/>
          <w:i/>
          <w:iCs/>
        </w:rPr>
        <w:footnoteReference w:id="2"/>
      </w:r>
      <w:r>
        <w:rPr>
          <w:i/>
        </w:rPr>
        <w:t xml:space="preserve"> and the category of </w:t>
      </w:r>
      <w:r w:rsidR="00D102CE">
        <w:rPr>
          <w:i/>
        </w:rPr>
        <w:t>S</w:t>
      </w:r>
      <w:r>
        <w:rPr>
          <w:i/>
        </w:rPr>
        <w:t>ports with 8%,”</w:t>
      </w:r>
      <w:r>
        <w:t xml:space="preserve"> comment</w:t>
      </w:r>
      <w:r w:rsidR="006821FE">
        <w:t>s</w:t>
      </w:r>
      <w:r>
        <w:t xml:space="preserve"> </w:t>
      </w:r>
      <w:proofErr w:type="spellStart"/>
      <w:r>
        <w:rPr>
          <w:b/>
        </w:rPr>
        <w:t>Klára</w:t>
      </w:r>
      <w:proofErr w:type="spellEnd"/>
      <w:r>
        <w:rPr>
          <w:b/>
        </w:rPr>
        <w:t xml:space="preserve"> </w:t>
      </w:r>
      <w:proofErr w:type="spellStart"/>
      <w:r>
        <w:rPr>
          <w:b/>
        </w:rPr>
        <w:t>Bejblová</w:t>
      </w:r>
      <w:proofErr w:type="spellEnd"/>
      <w:r>
        <w:rPr>
          <w:b/>
        </w:rPr>
        <w:t>, CBRE’s market</w:t>
      </w:r>
      <w:r w:rsidR="00417175">
        <w:rPr>
          <w:b/>
        </w:rPr>
        <w:t xml:space="preserve"> Retail Research Consultant </w:t>
      </w:r>
      <w:r>
        <w:rPr>
          <w:b/>
        </w:rPr>
        <w:t xml:space="preserve">for the Czech Republic and </w:t>
      </w:r>
      <w:r w:rsidR="00E00901">
        <w:rPr>
          <w:b/>
        </w:rPr>
        <w:t>Europe</w:t>
      </w:r>
      <w:r>
        <w:t xml:space="preserve">, </w:t>
      </w:r>
      <w:r w:rsidR="00E00901">
        <w:t xml:space="preserve">and </w:t>
      </w:r>
      <w:r>
        <w:t>continue</w:t>
      </w:r>
      <w:r w:rsidR="00DF1384">
        <w:t>s</w:t>
      </w:r>
      <w:r>
        <w:t>:</w:t>
      </w:r>
      <w:r>
        <w:rPr>
          <w:b/>
        </w:rPr>
        <w:t xml:space="preserve"> </w:t>
      </w:r>
      <w:r>
        <w:rPr>
          <w:i/>
        </w:rPr>
        <w:t>“From the perspective of</w:t>
      </w:r>
      <w:r w:rsidR="008623A8">
        <w:rPr>
          <w:i/>
        </w:rPr>
        <w:t> </w:t>
      </w:r>
      <w:r>
        <w:rPr>
          <w:i/>
        </w:rPr>
        <w:t>the</w:t>
      </w:r>
      <w:r w:rsidR="008623A8">
        <w:rPr>
          <w:i/>
        </w:rPr>
        <w:t> </w:t>
      </w:r>
      <w:r>
        <w:rPr>
          <w:i/>
        </w:rPr>
        <w:t xml:space="preserve">dynamics of development last year, the largest year-on-year increase in the rental space took place in the </w:t>
      </w:r>
      <w:r w:rsidR="00D102CE">
        <w:rPr>
          <w:i/>
        </w:rPr>
        <w:t>S</w:t>
      </w:r>
      <w:r>
        <w:rPr>
          <w:i/>
        </w:rPr>
        <w:t>ervices sector (+9%) and F</w:t>
      </w:r>
      <w:r w:rsidR="00855A64">
        <w:rPr>
          <w:i/>
        </w:rPr>
        <w:t xml:space="preserve">ood </w:t>
      </w:r>
      <w:r>
        <w:rPr>
          <w:i/>
        </w:rPr>
        <w:t>&amp;</w:t>
      </w:r>
      <w:r w:rsidR="00855A64">
        <w:rPr>
          <w:i/>
        </w:rPr>
        <w:t xml:space="preserve"> </w:t>
      </w:r>
      <w:r>
        <w:rPr>
          <w:i/>
        </w:rPr>
        <w:t>B</w:t>
      </w:r>
      <w:r w:rsidR="00855A64">
        <w:rPr>
          <w:i/>
        </w:rPr>
        <w:t>everage</w:t>
      </w:r>
      <w:r>
        <w:rPr>
          <w:i/>
        </w:rPr>
        <w:t xml:space="preserve"> (+5%). Other significant changes were noted in</w:t>
      </w:r>
      <w:r w:rsidR="008623A8">
        <w:rPr>
          <w:i/>
        </w:rPr>
        <w:t> </w:t>
      </w:r>
      <w:r>
        <w:rPr>
          <w:i/>
        </w:rPr>
        <w:t>the</w:t>
      </w:r>
      <w:r w:rsidR="008623A8">
        <w:rPr>
          <w:i/>
        </w:rPr>
        <w:t> </w:t>
      </w:r>
      <w:r>
        <w:rPr>
          <w:i/>
        </w:rPr>
        <w:t xml:space="preserve">category of </w:t>
      </w:r>
      <w:r w:rsidR="00D102CE">
        <w:rPr>
          <w:i/>
        </w:rPr>
        <w:t>F</w:t>
      </w:r>
      <w:r>
        <w:rPr>
          <w:i/>
        </w:rPr>
        <w:t>ashion, especially from the perspective of the change of tenants. On the one hand, some transactions were concluded due to the reduction of lower-performing branches or the acquisition of selected brands. On the other hand, a number of popular brands and discount chains have expanded.”</w:t>
      </w:r>
    </w:p>
    <w:p w14:paraId="128797FC" w14:textId="77777777" w:rsidR="00BF1578" w:rsidRPr="00C64CA6" w:rsidRDefault="00BF1578" w:rsidP="00784D2C">
      <w:pPr>
        <w:pStyle w:val="BodyCopy"/>
        <w:jc w:val="both"/>
      </w:pPr>
    </w:p>
    <w:p w14:paraId="33F6EAF9" w14:textId="01430222" w:rsidR="00D37AD0" w:rsidRPr="00C64CA6" w:rsidRDefault="00EC43BA" w:rsidP="00F32043">
      <w:pPr>
        <w:pStyle w:val="BodyCopy"/>
        <w:jc w:val="both"/>
      </w:pPr>
      <w:r>
        <w:rPr>
          <w:b/>
        </w:rPr>
        <w:t>Footfall in regional shopping centres</w:t>
      </w:r>
      <w:r>
        <w:t xml:space="preserve"> </w:t>
      </w:r>
      <w:r w:rsidR="00171165">
        <w:rPr>
          <w:b/>
        </w:rPr>
        <w:t xml:space="preserve">last year </w:t>
      </w:r>
      <w:r>
        <w:rPr>
          <w:b/>
        </w:rPr>
        <w:t>increased</w:t>
      </w:r>
      <w:bookmarkStart w:id="0" w:name="_Hlk135730448"/>
      <w:r>
        <w:rPr>
          <w:b/>
        </w:rPr>
        <w:t xml:space="preserve"> by 23.5% year-on-year </w:t>
      </w:r>
    </w:p>
    <w:p w14:paraId="622B8C07" w14:textId="3A0C2238" w:rsidR="00F32043" w:rsidRPr="00C64CA6" w:rsidRDefault="0055185E" w:rsidP="00F32043">
      <w:pPr>
        <w:pStyle w:val="BodyCopy"/>
        <w:jc w:val="both"/>
      </w:pPr>
      <w:r>
        <w:t xml:space="preserve">Compared to the values from the pre-Covid year of 2019, however, it fell by 11%. </w:t>
      </w:r>
      <w:bookmarkEnd w:id="0"/>
      <w:r>
        <w:t>The first quarter was also marked by protective measures, while there was an increase in the second, based on delayed consumption and partly also the migration wave from Ukraine. By the end of the year, however, the</w:t>
      </w:r>
      <w:r w:rsidR="008623A8">
        <w:t> </w:t>
      </w:r>
      <w:r>
        <w:t xml:space="preserve">footfall decreased slightly due to the reduction of spending and decreasing consumer confidence. </w:t>
      </w:r>
      <w:r w:rsidR="00DF1384">
        <w:br/>
      </w:r>
      <w:r>
        <w:rPr>
          <w:i/>
        </w:rPr>
        <w:lastRenderedPageBreak/>
        <w:t>“A current CBRE survey among customers confirmed that Czechs most often go to shopping centres for</w:t>
      </w:r>
      <w:r w:rsidR="008623A8">
        <w:rPr>
          <w:i/>
        </w:rPr>
        <w:t> </w:t>
      </w:r>
      <w:r>
        <w:rPr>
          <w:i/>
        </w:rPr>
        <w:t>shopping in hypermarkets or supermarkets, even several times a week. This is followed by clothing shops and restaurants, fast food establishments and cafés. These are the reason that up to 13% of</w:t>
      </w:r>
      <w:r w:rsidR="008623A8">
        <w:rPr>
          <w:i/>
        </w:rPr>
        <w:t> </w:t>
      </w:r>
      <w:r>
        <w:rPr>
          <w:i/>
        </w:rPr>
        <w:t>the</w:t>
      </w:r>
      <w:r w:rsidR="008623A8">
        <w:rPr>
          <w:i/>
        </w:rPr>
        <w:t> </w:t>
      </w:r>
      <w:r>
        <w:rPr>
          <w:i/>
        </w:rPr>
        <w:t>respondents come to a shopping centre at least once a week. A generally higher frequency is evident among residents of Prague and other regional cities, as well as in the younger generation aged 18 to 25,”</w:t>
      </w:r>
      <w:r>
        <w:t xml:space="preserve"> explain</w:t>
      </w:r>
      <w:r w:rsidR="00DF1384">
        <w:t>s</w:t>
      </w:r>
      <w:r>
        <w:t xml:space="preserve"> </w:t>
      </w:r>
      <w:r>
        <w:rPr>
          <w:b/>
        </w:rPr>
        <w:t xml:space="preserve">Michaela </w:t>
      </w:r>
      <w:proofErr w:type="spellStart"/>
      <w:r>
        <w:rPr>
          <w:b/>
        </w:rPr>
        <w:t>Šoková</w:t>
      </w:r>
      <w:proofErr w:type="spellEnd"/>
      <w:r>
        <w:rPr>
          <w:b/>
        </w:rPr>
        <w:t>, Head of Retail Marketing at CBRE</w:t>
      </w:r>
      <w:r>
        <w:t>.</w:t>
      </w:r>
    </w:p>
    <w:p w14:paraId="79B0FFFC" w14:textId="77777777" w:rsidR="00F32043" w:rsidRPr="00C64CA6" w:rsidRDefault="00F32043" w:rsidP="00784D2C">
      <w:pPr>
        <w:pStyle w:val="BodyCopy"/>
        <w:jc w:val="both"/>
      </w:pPr>
    </w:p>
    <w:p w14:paraId="52CD87EC" w14:textId="7DD469ED" w:rsidR="00F748AB" w:rsidRPr="00C64CA6" w:rsidRDefault="00DA6F44" w:rsidP="00DA6F44">
      <w:pPr>
        <w:pStyle w:val="BodyCopy"/>
        <w:jc w:val="both"/>
        <w:rPr>
          <w:b/>
          <w:bCs/>
        </w:rPr>
      </w:pPr>
      <w:r>
        <w:rPr>
          <w:b/>
        </w:rPr>
        <w:t xml:space="preserve">Despite the lower traffic levels, </w:t>
      </w:r>
      <w:bookmarkStart w:id="1" w:name="_Hlk135730657"/>
      <w:r>
        <w:rPr>
          <w:b/>
        </w:rPr>
        <w:t>turnovers recorded significant growth</w:t>
      </w:r>
    </w:p>
    <w:p w14:paraId="565BD672" w14:textId="1E1BA1F2" w:rsidR="002E0C8E" w:rsidRDefault="002621EA" w:rsidP="002E0C8E">
      <w:pPr>
        <w:pStyle w:val="BodyCopy"/>
        <w:jc w:val="both"/>
      </w:pPr>
      <w:r>
        <w:t>On average, a visitor spent CZK 268 during one visit to a shopping centre last year, which represents a</w:t>
      </w:r>
      <w:r w:rsidR="008623A8">
        <w:t> </w:t>
      </w:r>
      <w:r>
        <w:t xml:space="preserve">year-on-year increase of 5.9% and almost a 25% increase compared to 2019. Turnovers increased both year-on-year (+31.5%) and compared to 2019 (+11.1%). </w:t>
      </w:r>
      <w:bookmarkEnd w:id="1"/>
      <w:r>
        <w:t>“</w:t>
      </w:r>
      <w:r>
        <w:rPr>
          <w:i/>
        </w:rPr>
        <w:t xml:space="preserve">Four of the nine main sectors saw double-digit growth compared to 2019. The leader was the </w:t>
      </w:r>
      <w:r w:rsidR="00D102CE">
        <w:rPr>
          <w:i/>
        </w:rPr>
        <w:t>S</w:t>
      </w:r>
      <w:r>
        <w:rPr>
          <w:i/>
        </w:rPr>
        <w:t>ervice sector, which improved by 35%. Travel agencies, which increased their turnover by almost 90%, played a major role in this. After significantly limited operations over the previous two years, the recovery in hairdressing and beauty salons was evident, but</w:t>
      </w:r>
      <w:r w:rsidR="008623A8">
        <w:rPr>
          <w:i/>
        </w:rPr>
        <w:t> </w:t>
      </w:r>
      <w:r>
        <w:rPr>
          <w:i/>
        </w:rPr>
        <w:t>the turnover did not rebound from the pre-pandemic period (-3%). Even greater success in</w:t>
      </w:r>
      <w:r w:rsidR="008623A8">
        <w:rPr>
          <w:i/>
        </w:rPr>
        <w:t> </w:t>
      </w:r>
      <w:r>
        <w:rPr>
          <w:i/>
        </w:rPr>
        <w:t>the</w:t>
      </w:r>
      <w:r w:rsidR="008623A8">
        <w:rPr>
          <w:i/>
        </w:rPr>
        <w:t> </w:t>
      </w:r>
      <w:r>
        <w:rPr>
          <w:i/>
        </w:rPr>
        <w:t xml:space="preserve">category of </w:t>
      </w:r>
      <w:r w:rsidR="00D102CE">
        <w:rPr>
          <w:i/>
        </w:rPr>
        <w:t>S</w:t>
      </w:r>
      <w:r>
        <w:rPr>
          <w:i/>
        </w:rPr>
        <w:t>ervices was mainly dampened by the turnover of pet stores (-9%), where we observe a</w:t>
      </w:r>
      <w:r w:rsidR="008623A8">
        <w:rPr>
          <w:i/>
        </w:rPr>
        <w:t> </w:t>
      </w:r>
      <w:r>
        <w:rPr>
          <w:i/>
        </w:rPr>
        <w:t>continued reduction in sales due to online shopping,”</w:t>
      </w:r>
      <w:r>
        <w:t xml:space="preserve"> state</w:t>
      </w:r>
      <w:r w:rsidR="00DF1384">
        <w:t>s</w:t>
      </w:r>
      <w:r>
        <w:t xml:space="preserve"> </w:t>
      </w:r>
      <w:proofErr w:type="spellStart"/>
      <w:r>
        <w:rPr>
          <w:b/>
        </w:rPr>
        <w:t>Klára</w:t>
      </w:r>
      <w:proofErr w:type="spellEnd"/>
      <w:r>
        <w:rPr>
          <w:b/>
        </w:rPr>
        <w:t xml:space="preserve"> </w:t>
      </w:r>
      <w:proofErr w:type="spellStart"/>
      <w:r>
        <w:rPr>
          <w:b/>
        </w:rPr>
        <w:t>Bejblová</w:t>
      </w:r>
      <w:proofErr w:type="spellEnd"/>
      <w:r>
        <w:t xml:space="preserve">, </w:t>
      </w:r>
      <w:r w:rsidR="00DF1384">
        <w:t>and adds</w:t>
      </w:r>
      <w:r>
        <w:t xml:space="preserve">: </w:t>
      </w:r>
      <w:r>
        <w:rPr>
          <w:i/>
        </w:rPr>
        <w:t xml:space="preserve">“The second-largest increase in turnover was recorded by the </w:t>
      </w:r>
      <w:r w:rsidR="00D102CE">
        <w:rPr>
          <w:i/>
        </w:rPr>
        <w:t>E</w:t>
      </w:r>
      <w:r>
        <w:rPr>
          <w:i/>
        </w:rPr>
        <w:t>lectronics sector (+20%) for almost all concepts. Special</w:t>
      </w:r>
      <w:r w:rsidR="0059139A">
        <w:rPr>
          <w:i/>
        </w:rPr>
        <w:t>ty</w:t>
      </w:r>
      <w:r>
        <w:rPr>
          <w:i/>
        </w:rPr>
        <w:t xml:space="preserve"> </w:t>
      </w:r>
      <w:r w:rsidR="00D102CE">
        <w:rPr>
          <w:i/>
        </w:rPr>
        <w:t>R</w:t>
      </w:r>
      <w:r>
        <w:rPr>
          <w:i/>
        </w:rPr>
        <w:t xml:space="preserve">etail, which had the best performance dynamics in the previous two years thanks to pharmacies, optics and chemists, continued to grow, posting 19%. In addition, the </w:t>
      </w:r>
      <w:r w:rsidR="00C17328" w:rsidRPr="00C17328">
        <w:rPr>
          <w:i/>
        </w:rPr>
        <w:t>Food &amp; Beverage</w:t>
      </w:r>
      <w:r>
        <w:rPr>
          <w:i/>
        </w:rPr>
        <w:t xml:space="preserve"> sector returned to double-digit growth, achieving a 13% improvement compared to 2019.”</w:t>
      </w:r>
      <w:r>
        <w:t xml:space="preserve"> The</w:t>
      </w:r>
      <w:r w:rsidR="008623A8">
        <w:t> </w:t>
      </w:r>
      <w:r>
        <w:t xml:space="preserve">prestigious </w:t>
      </w:r>
      <w:r w:rsidR="00D102CE">
        <w:t>F</w:t>
      </w:r>
      <w:r>
        <w:t>ashion sector experienced a 1% decline in turnover compared to 2019, though when compared to the previous two years, it is a significant improvement. The subcategories with the best dynamic included fashions for young people (+9%) and for men (+12%). On the other hand, clothing and</w:t>
      </w:r>
      <w:r w:rsidR="008623A8">
        <w:t> </w:t>
      </w:r>
      <w:r>
        <w:t xml:space="preserve">accessories stores for women, which are increasingly competing with mixed fashion brands offering women’s collections, had the weakest development (-24%). </w:t>
      </w:r>
    </w:p>
    <w:p w14:paraId="2A4D3683" w14:textId="77777777" w:rsidR="002E0C8E" w:rsidRDefault="002E0C8E" w:rsidP="002E0C8E">
      <w:pPr>
        <w:pStyle w:val="BodyCopy"/>
        <w:jc w:val="both"/>
      </w:pPr>
    </w:p>
    <w:p w14:paraId="6202C2CF" w14:textId="604C9DB7" w:rsidR="002E0C8E" w:rsidRPr="005810C8" w:rsidRDefault="002E0C8E" w:rsidP="002E0C8E">
      <w:pPr>
        <w:pStyle w:val="BodyCopy"/>
        <w:jc w:val="both"/>
        <w:rPr>
          <w:i/>
          <w:iCs/>
        </w:rPr>
      </w:pPr>
      <w:r>
        <w:rPr>
          <w:i/>
        </w:rPr>
        <w:t>“The generally positive trend in increasing turnovers is confirmed by the results of our May survey among retailers. They show that 70% of retailers currently account for 100-120% of the sales level from 2019,”</w:t>
      </w:r>
      <w:r>
        <w:t xml:space="preserve"> sa</w:t>
      </w:r>
      <w:r w:rsidR="006821FE">
        <w:t>ys</w:t>
      </w:r>
      <w:r>
        <w:t xml:space="preserve"> </w:t>
      </w:r>
      <w:r>
        <w:rPr>
          <w:b/>
        </w:rPr>
        <w:t xml:space="preserve">Jan </w:t>
      </w:r>
      <w:proofErr w:type="spellStart"/>
      <w:r>
        <w:rPr>
          <w:b/>
        </w:rPr>
        <w:t>Jan</w:t>
      </w:r>
      <w:r w:rsidR="004208AB">
        <w:rPr>
          <w:b/>
        </w:rPr>
        <w:t>áč</w:t>
      </w:r>
      <w:r>
        <w:rPr>
          <w:b/>
        </w:rPr>
        <w:t>ek</w:t>
      </w:r>
      <w:proofErr w:type="spellEnd"/>
      <w:r>
        <w:rPr>
          <w:rStyle w:val="Siln"/>
        </w:rPr>
        <w:t>, Head of Retail Sector and Retail Leasing at CBRE</w:t>
      </w:r>
      <w:r>
        <w:rPr>
          <w:rStyle w:val="Siln"/>
          <w:b w:val="0"/>
        </w:rPr>
        <w:t xml:space="preserve">, </w:t>
      </w:r>
      <w:r w:rsidR="006821FE">
        <w:rPr>
          <w:rStyle w:val="Siln"/>
          <w:b w:val="0"/>
        </w:rPr>
        <w:t>and adds</w:t>
      </w:r>
      <w:r>
        <w:rPr>
          <w:rStyle w:val="Siln"/>
          <w:b w:val="0"/>
        </w:rPr>
        <w:t xml:space="preserve">: </w:t>
      </w:r>
      <w:r>
        <w:rPr>
          <w:rStyle w:val="Siln"/>
          <w:b w:val="0"/>
          <w:i/>
        </w:rPr>
        <w:t xml:space="preserve">“However, </w:t>
      </w:r>
      <w:r>
        <w:rPr>
          <w:i/>
        </w:rPr>
        <w:t>boundless optimism reduces the long-term increase in operating costs on the one hand, and the fear of losing the</w:t>
      </w:r>
      <w:r w:rsidR="008623A8">
        <w:rPr>
          <w:i/>
        </w:rPr>
        <w:t> </w:t>
      </w:r>
      <w:r>
        <w:rPr>
          <w:i/>
        </w:rPr>
        <w:t>customer, and consequently of his reduced purchasing power, on the other hand. Therefore, it is worth paying attention to the approach of retailers to raising prices. Surprisingly, despite higher inflation in</w:t>
      </w:r>
      <w:r w:rsidR="008623A8">
        <w:rPr>
          <w:i/>
        </w:rPr>
        <w:t> </w:t>
      </w:r>
      <w:r>
        <w:rPr>
          <w:i/>
        </w:rPr>
        <w:t>the</w:t>
      </w:r>
      <w:r w:rsidR="008623A8">
        <w:rPr>
          <w:i/>
        </w:rPr>
        <w:t> </w:t>
      </w:r>
      <w:r>
        <w:rPr>
          <w:i/>
        </w:rPr>
        <w:t xml:space="preserve">Czech Republic, domestic retail, with the exception of groceries, has increased less vigorously than retailers in the CEE </w:t>
      </w:r>
      <w:r w:rsidR="008623A8">
        <w:rPr>
          <w:i/>
        </w:rPr>
        <w:t>R</w:t>
      </w:r>
      <w:r>
        <w:rPr>
          <w:i/>
        </w:rPr>
        <w:t>egion. In particular, 42% of the surveyed brands operating in the Czech Republic increased their prices in the range from 10 to 15%, while brands in the CEE region increased by 15 to</w:t>
      </w:r>
      <w:r w:rsidR="008623A8">
        <w:rPr>
          <w:i/>
        </w:rPr>
        <w:t> </w:t>
      </w:r>
      <w:r>
        <w:rPr>
          <w:i/>
        </w:rPr>
        <w:t>20%. At the same time, less than a quarter of respondents raised prices above 20%, which none of</w:t>
      </w:r>
      <w:r w:rsidR="008623A8">
        <w:rPr>
          <w:i/>
        </w:rPr>
        <w:t> </w:t>
      </w:r>
      <w:r>
        <w:rPr>
          <w:i/>
        </w:rPr>
        <w:t>the</w:t>
      </w:r>
      <w:r w:rsidR="008623A8">
        <w:rPr>
          <w:i/>
        </w:rPr>
        <w:t> </w:t>
      </w:r>
      <w:r>
        <w:rPr>
          <w:i/>
        </w:rPr>
        <w:t>Czech respondents have done.”</w:t>
      </w:r>
      <w:r>
        <w:t xml:space="preserve">  </w:t>
      </w:r>
    </w:p>
    <w:p w14:paraId="4D630C58" w14:textId="6AB43461" w:rsidR="00B01258" w:rsidRDefault="00B01258" w:rsidP="002E0C8E">
      <w:pPr>
        <w:pStyle w:val="BodyCopy"/>
        <w:jc w:val="both"/>
      </w:pPr>
    </w:p>
    <w:p w14:paraId="60F6B5CD" w14:textId="6AD6329F" w:rsidR="00B01258" w:rsidRDefault="00B01258" w:rsidP="00B01258">
      <w:pPr>
        <w:pStyle w:val="BodyCopy"/>
        <w:jc w:val="both"/>
      </w:pPr>
      <w:r>
        <w:lastRenderedPageBreak/>
        <w:t>And this decision turns out to be the correct one, because the domestic customer is very sensitive to price</w:t>
      </w:r>
      <w:r w:rsidR="00171165">
        <w:t>s</w:t>
      </w:r>
      <w:r>
        <w:t xml:space="preserve">. </w:t>
      </w:r>
      <w:r>
        <w:rPr>
          <w:i/>
        </w:rPr>
        <w:t>“The current price increases affect the purchasing decisions of 96% of the respondents. Regardless of gender, age or region, it is clear that price</w:t>
      </w:r>
      <w:r w:rsidR="00171165">
        <w:rPr>
          <w:i/>
        </w:rPr>
        <w:t>s</w:t>
      </w:r>
      <w:r>
        <w:rPr>
          <w:i/>
        </w:rPr>
        <w:t xml:space="preserve"> play a significant role. Most respondents said they are currently limiting spending in restaurants, fast food or cafés (83% of respondents) and cinemas (80%). Price increases also contribute to increased interest in loyalty programmes. They are used by the vast majority of respondents (93%), which is ten percentage points higher than last year,”</w:t>
      </w:r>
      <w:r>
        <w:t xml:space="preserve"> add</w:t>
      </w:r>
      <w:r w:rsidR="006821FE">
        <w:t>s</w:t>
      </w:r>
      <w:r>
        <w:t xml:space="preserve"> </w:t>
      </w:r>
      <w:r>
        <w:rPr>
          <w:b/>
        </w:rPr>
        <w:t xml:space="preserve">Michaela </w:t>
      </w:r>
      <w:proofErr w:type="spellStart"/>
      <w:r>
        <w:rPr>
          <w:b/>
        </w:rPr>
        <w:t>Šoková</w:t>
      </w:r>
      <w:proofErr w:type="spellEnd"/>
      <w:r>
        <w:t>.</w:t>
      </w:r>
    </w:p>
    <w:p w14:paraId="39BE97D2" w14:textId="77777777" w:rsidR="002E0C8E" w:rsidRDefault="002E0C8E" w:rsidP="002E0C8E">
      <w:pPr>
        <w:pStyle w:val="BodyCopy"/>
        <w:jc w:val="both"/>
      </w:pPr>
    </w:p>
    <w:p w14:paraId="71510288" w14:textId="5B0A98CB" w:rsidR="00DA6F44" w:rsidRPr="006208D3" w:rsidRDefault="00A77D59" w:rsidP="00DA6F44">
      <w:pPr>
        <w:pStyle w:val="BodyCopy"/>
        <w:jc w:val="both"/>
        <w:rPr>
          <w:b/>
          <w:bCs/>
        </w:rPr>
      </w:pPr>
      <w:r>
        <w:rPr>
          <w:b/>
        </w:rPr>
        <w:t>All sectors saw growth in rent</w:t>
      </w:r>
    </w:p>
    <w:p w14:paraId="1EB2A956" w14:textId="0BDA6597" w:rsidR="00DA6F44" w:rsidRPr="006208D3" w:rsidRDefault="00DA6F44" w:rsidP="00DA6F44">
      <w:pPr>
        <w:pStyle w:val="BodyCopy"/>
        <w:jc w:val="both"/>
      </w:pPr>
      <w:r>
        <w:t>The average year-on-year increase in rents in regional shopping centres in 2022 was 4.9%, which put it above the level of European and Czech indexation. This would indicate an increase of about 10% for</w:t>
      </w:r>
      <w:r w:rsidR="008623A8">
        <w:t> </w:t>
      </w:r>
      <w:r>
        <w:t xml:space="preserve">newly concluded lease agreements under standard conditions, but discounts on rent from 2021 were partially reflected in last year’s prices. For this reason, the average rent increased by 4.2% compared to 2019. </w:t>
      </w:r>
      <w:r>
        <w:rPr>
          <w:i/>
        </w:rPr>
        <w:t xml:space="preserve">“The highest dynamics, with approximately 9% growth, were in the </w:t>
      </w:r>
      <w:r w:rsidR="00D102CE">
        <w:rPr>
          <w:i/>
        </w:rPr>
        <w:t>Special Food</w:t>
      </w:r>
      <w:r>
        <w:rPr>
          <w:i/>
        </w:rPr>
        <w:t xml:space="preserve">, </w:t>
      </w:r>
      <w:r w:rsidR="00D102CE">
        <w:rPr>
          <w:i/>
        </w:rPr>
        <w:t>F&amp;B</w:t>
      </w:r>
      <w:r>
        <w:rPr>
          <w:i/>
        </w:rPr>
        <w:t xml:space="preserve"> and</w:t>
      </w:r>
      <w:r w:rsidR="008623A8">
        <w:rPr>
          <w:i/>
        </w:rPr>
        <w:t> </w:t>
      </w:r>
      <w:r w:rsidR="00D102CE">
        <w:rPr>
          <w:i/>
        </w:rPr>
        <w:t>S</w:t>
      </w:r>
      <w:r>
        <w:rPr>
          <w:i/>
        </w:rPr>
        <w:t>pecial</w:t>
      </w:r>
      <w:r w:rsidR="00695072">
        <w:rPr>
          <w:i/>
        </w:rPr>
        <w:t>ty</w:t>
      </w:r>
      <w:r>
        <w:rPr>
          <w:i/>
        </w:rPr>
        <w:t xml:space="preserve"> </w:t>
      </w:r>
      <w:r w:rsidR="00D102CE">
        <w:rPr>
          <w:i/>
        </w:rPr>
        <w:t>R</w:t>
      </w:r>
      <w:r>
        <w:rPr>
          <w:i/>
        </w:rPr>
        <w:t xml:space="preserve">etail sectors. While for </w:t>
      </w:r>
      <w:r w:rsidR="00C17328">
        <w:rPr>
          <w:i/>
        </w:rPr>
        <w:t xml:space="preserve">Special Food </w:t>
      </w:r>
      <w:r>
        <w:rPr>
          <w:i/>
        </w:rPr>
        <w:t xml:space="preserve">it was mostly a correction of the lease after last year’s discounts, </w:t>
      </w:r>
      <w:r w:rsidR="00C17328">
        <w:rPr>
          <w:i/>
        </w:rPr>
        <w:t>S</w:t>
      </w:r>
      <w:r>
        <w:rPr>
          <w:i/>
        </w:rPr>
        <w:t>peciali</w:t>
      </w:r>
      <w:r w:rsidR="00695072">
        <w:rPr>
          <w:i/>
        </w:rPr>
        <w:t>ty</w:t>
      </w:r>
      <w:r>
        <w:rPr>
          <w:i/>
        </w:rPr>
        <w:t xml:space="preserve"> </w:t>
      </w:r>
      <w:r w:rsidR="00C17328">
        <w:rPr>
          <w:i/>
        </w:rPr>
        <w:t>R</w:t>
      </w:r>
      <w:r>
        <w:rPr>
          <w:i/>
        </w:rPr>
        <w:t xml:space="preserve">etail shows an increase in the average rent over the long term. The </w:t>
      </w:r>
      <w:r w:rsidR="00C17328">
        <w:rPr>
          <w:i/>
        </w:rPr>
        <w:t>S</w:t>
      </w:r>
      <w:r>
        <w:rPr>
          <w:i/>
        </w:rPr>
        <w:t xml:space="preserve">ervices and </w:t>
      </w:r>
      <w:r w:rsidR="00C17328">
        <w:rPr>
          <w:i/>
        </w:rPr>
        <w:t>F</w:t>
      </w:r>
      <w:r>
        <w:rPr>
          <w:i/>
        </w:rPr>
        <w:t>ashion sectors saw an identical 2% increase year-on-year. However, while average rents in</w:t>
      </w:r>
      <w:r w:rsidR="008623A8">
        <w:rPr>
          <w:i/>
        </w:rPr>
        <w:t> </w:t>
      </w:r>
      <w:r>
        <w:rPr>
          <w:i/>
        </w:rPr>
        <w:t>the</w:t>
      </w:r>
      <w:r w:rsidR="008623A8">
        <w:rPr>
          <w:i/>
        </w:rPr>
        <w:t> </w:t>
      </w:r>
      <w:r w:rsidR="00C17328">
        <w:rPr>
          <w:i/>
        </w:rPr>
        <w:t>S</w:t>
      </w:r>
      <w:r>
        <w:rPr>
          <w:i/>
        </w:rPr>
        <w:t xml:space="preserve">ervices sector rose by more than 9% compared to 2019, they declined by 4% in the </w:t>
      </w:r>
      <w:r w:rsidR="00C17328">
        <w:rPr>
          <w:i/>
        </w:rPr>
        <w:t>F</w:t>
      </w:r>
      <w:r>
        <w:rPr>
          <w:i/>
        </w:rPr>
        <w:t>ashion segment. This is mainly due to the long-term pressure on rents caused by lower competition in medium and large units form</w:t>
      </w:r>
      <w:r w:rsidR="00171165">
        <w:rPr>
          <w:i/>
        </w:rPr>
        <w:t>ing</w:t>
      </w:r>
      <w:r>
        <w:rPr>
          <w:i/>
        </w:rPr>
        <w:t xml:space="preserve"> anchor tenants,” </w:t>
      </w:r>
      <w:r>
        <w:t>explain</w:t>
      </w:r>
      <w:r w:rsidR="006821FE">
        <w:t>s</w:t>
      </w:r>
      <w:r>
        <w:t xml:space="preserve"> </w:t>
      </w:r>
      <w:proofErr w:type="spellStart"/>
      <w:r>
        <w:rPr>
          <w:b/>
        </w:rPr>
        <w:t>Klára</w:t>
      </w:r>
      <w:proofErr w:type="spellEnd"/>
      <w:r>
        <w:rPr>
          <w:b/>
        </w:rPr>
        <w:t xml:space="preserve"> </w:t>
      </w:r>
      <w:proofErr w:type="spellStart"/>
      <w:r>
        <w:rPr>
          <w:b/>
        </w:rPr>
        <w:t>Bejblová</w:t>
      </w:r>
      <w:proofErr w:type="spellEnd"/>
      <w:r>
        <w:t xml:space="preserve">. </w:t>
      </w:r>
    </w:p>
    <w:p w14:paraId="2E24BB4F" w14:textId="1C96925D" w:rsidR="00DA6F44" w:rsidRDefault="00AF62C1" w:rsidP="00DA6F44">
      <w:pPr>
        <w:pStyle w:val="BodyCopy"/>
        <w:jc w:val="both"/>
      </w:pPr>
      <w:r>
        <w:br/>
      </w:r>
      <w:r>
        <w:rPr>
          <w:b/>
        </w:rPr>
        <w:t>The vacancy rate</w:t>
      </w:r>
      <w:r>
        <w:t xml:space="preserve"> in regional shopping centres in the Czech Republic decreased slightly from 4.4% to</w:t>
      </w:r>
      <w:r w:rsidR="008623A8">
        <w:t> </w:t>
      </w:r>
      <w:r>
        <w:t>4.1% last year. In 2019, the average vacancy rate was 3.5%.</w:t>
      </w:r>
    </w:p>
    <w:p w14:paraId="7135F747" w14:textId="77777777" w:rsidR="003E1EF6" w:rsidRDefault="003E1EF6" w:rsidP="00DA6F44">
      <w:pPr>
        <w:pStyle w:val="BodyCopy"/>
        <w:jc w:val="both"/>
      </w:pPr>
    </w:p>
    <w:p w14:paraId="19920EB2" w14:textId="029850B4" w:rsidR="008373A2" w:rsidRPr="005B1B8F" w:rsidRDefault="008373A2" w:rsidP="00A440EF">
      <w:pPr>
        <w:pStyle w:val="BodyCopy"/>
        <w:jc w:val="both"/>
        <w:rPr>
          <w:b/>
          <w:bCs/>
        </w:rPr>
      </w:pPr>
      <w:r>
        <w:rPr>
          <w:b/>
        </w:rPr>
        <w:t>Shopping centres versus online shopping. Do brick-and-mortar shops have cause for concern?</w:t>
      </w:r>
    </w:p>
    <w:p w14:paraId="52464DE5" w14:textId="1CECF83F" w:rsidR="00B12F6F" w:rsidRDefault="6187E963" w:rsidP="00A440EF">
      <w:pPr>
        <w:pStyle w:val="BodyCopy"/>
        <w:jc w:val="both"/>
      </w:pPr>
      <w:r>
        <w:t>The pandemic has greatly increased interest in e-commerce. The domestic market is advanced in</w:t>
      </w:r>
      <w:r w:rsidR="008623A8">
        <w:t> </w:t>
      </w:r>
      <w:r>
        <w:t>this</w:t>
      </w:r>
      <w:r w:rsidR="008623A8">
        <w:t> </w:t>
      </w:r>
      <w:r>
        <w:t>respect: The share of online sales in total retail sales is 17%. A third of Czech retailers participating in the CBRE survey report that their share of online sales is between 21 and 30% (versus 11-20% in</w:t>
      </w:r>
      <w:r w:rsidR="008623A8">
        <w:t> </w:t>
      </w:r>
      <w:r>
        <w:t>the</w:t>
      </w:r>
      <w:r w:rsidR="008623A8">
        <w:t> </w:t>
      </w:r>
      <w:r>
        <w:t xml:space="preserve">CEE region). In both groups, </w:t>
      </w:r>
      <w:r w:rsidR="00C17328">
        <w:t>F</w:t>
      </w:r>
      <w:r>
        <w:t xml:space="preserve">ashions and </w:t>
      </w:r>
      <w:r w:rsidR="00C17328" w:rsidRPr="00C17328">
        <w:t xml:space="preserve">Food &amp; Beverage </w:t>
      </w:r>
      <w:r>
        <w:t>are growing the fastest, indicating new shopping habits acquired during the Covid period.</w:t>
      </w:r>
      <w:r>
        <w:rPr>
          <w:i/>
        </w:rPr>
        <w:t xml:space="preserve"> “The customer survey results reveal that up to 87% of respondents shop online, almost seven percentage points higher than last year. The highest rate of use is reported by the 35 to 44 age group (90%) and the smallest category of 65 plus (77%), it must be mentioned, saw a 15% improvement compared to last year. On the other hand, the year-on-year decline in online shopping interest among the youngest age group of 18 to 25 years is slightly surprising. However, this trend is a positive assurance for shopping centres that young people, though living a lot in</w:t>
      </w:r>
      <w:r w:rsidR="008623A8">
        <w:rPr>
          <w:i/>
        </w:rPr>
        <w:t> </w:t>
      </w:r>
      <w:r>
        <w:rPr>
          <w:i/>
        </w:rPr>
        <w:t>the online world, also desire a personal experience,”</w:t>
      </w:r>
      <w:r>
        <w:t xml:space="preserve"> comment</w:t>
      </w:r>
      <w:r w:rsidR="006821FE">
        <w:t>s</w:t>
      </w:r>
      <w:r>
        <w:t xml:space="preserve"> </w:t>
      </w:r>
      <w:r>
        <w:rPr>
          <w:b/>
        </w:rPr>
        <w:t xml:space="preserve">Michaela </w:t>
      </w:r>
      <w:proofErr w:type="spellStart"/>
      <w:r>
        <w:rPr>
          <w:b/>
        </w:rPr>
        <w:t>Šoková</w:t>
      </w:r>
      <w:proofErr w:type="spellEnd"/>
      <w:r>
        <w:t>.</w:t>
      </w:r>
    </w:p>
    <w:p w14:paraId="6F28125E" w14:textId="77777777" w:rsidR="00B12F6F" w:rsidRDefault="00B12F6F" w:rsidP="00A440EF">
      <w:pPr>
        <w:pStyle w:val="BodyCopy"/>
        <w:jc w:val="both"/>
      </w:pPr>
    </w:p>
    <w:p w14:paraId="00ACDD8F" w14:textId="705E93AB" w:rsidR="00A440EF" w:rsidRPr="005B1B8F" w:rsidRDefault="0054669E" w:rsidP="00A440EF">
      <w:pPr>
        <w:pStyle w:val="BodyCopy"/>
        <w:jc w:val="both"/>
      </w:pPr>
      <w:r>
        <w:lastRenderedPageBreak/>
        <w:t xml:space="preserve">Potential problems will therefore be faced by those retailers who have not sufficiently integrated omnichannel approaches to their trading strategies, combining multiple sales and communication channels from physical stores and showrooms to sophisticated e-shops. </w:t>
      </w:r>
    </w:p>
    <w:p w14:paraId="31A7FD85" w14:textId="77777777" w:rsidR="00B01258" w:rsidRPr="0014277B" w:rsidRDefault="00B01258" w:rsidP="00A440EF">
      <w:pPr>
        <w:pStyle w:val="BodyCopy"/>
        <w:jc w:val="both"/>
        <w:rPr>
          <w:highlight w:val="yellow"/>
        </w:rPr>
      </w:pPr>
    </w:p>
    <w:p w14:paraId="527C588E" w14:textId="77777777" w:rsidR="0004140D" w:rsidRPr="00650DCB" w:rsidRDefault="0004140D" w:rsidP="0004140D">
      <w:pPr>
        <w:pStyle w:val="BodyCopy"/>
        <w:jc w:val="both"/>
      </w:pPr>
      <w:r>
        <w:rPr>
          <w:b/>
        </w:rPr>
        <w:t>All changes on the retail market are reflected in the retailers’ strategies and plans</w:t>
      </w:r>
      <w:r>
        <w:t xml:space="preserve"> </w:t>
      </w:r>
    </w:p>
    <w:p w14:paraId="075E2D6F" w14:textId="70EBBC2E" w:rsidR="0004140D" w:rsidRPr="00650DCB" w:rsidRDefault="0004140D" w:rsidP="0004140D">
      <w:pPr>
        <w:pStyle w:val="BodyCopy"/>
        <w:jc w:val="both"/>
      </w:pPr>
      <w:r>
        <w:rPr>
          <w:i/>
        </w:rPr>
        <w:t>“The acquired data further shows that 54% of Czech respondents plan to further expand and extend the</w:t>
      </w:r>
      <w:r w:rsidR="008623A8">
        <w:rPr>
          <w:i/>
        </w:rPr>
        <w:t> </w:t>
      </w:r>
      <w:r>
        <w:rPr>
          <w:i/>
        </w:rPr>
        <w:t xml:space="preserve">retail sales network. On the other hand, 38% are considering closing stores or reducing sales space. At the same time, 69% of retailers want to renegotiate the terms of existing lease contracts to better reflect market corrections. The generally more negative sentiment of Czech tenants is reflected in their efforts to increase the flexibility of rental relationships, i.e., the possibility to terminate the lease contract more easily or to conclude it for a shorter duration than the standard five years,” </w:t>
      </w:r>
      <w:r w:rsidR="006821FE">
        <w:t>says</w:t>
      </w:r>
      <w:r>
        <w:t xml:space="preserve"> </w:t>
      </w:r>
      <w:r>
        <w:rPr>
          <w:b/>
        </w:rPr>
        <w:t xml:space="preserve">Jan </w:t>
      </w:r>
      <w:proofErr w:type="spellStart"/>
      <w:r>
        <w:rPr>
          <w:b/>
        </w:rPr>
        <w:t>Jan</w:t>
      </w:r>
      <w:r w:rsidR="00695072">
        <w:rPr>
          <w:b/>
        </w:rPr>
        <w:t>áč</w:t>
      </w:r>
      <w:r>
        <w:rPr>
          <w:b/>
        </w:rPr>
        <w:t>ek</w:t>
      </w:r>
      <w:proofErr w:type="spellEnd"/>
      <w:r>
        <w:t>.</w:t>
      </w:r>
    </w:p>
    <w:p w14:paraId="4301B9BD" w14:textId="77777777" w:rsidR="0004140D" w:rsidRPr="00650DCB" w:rsidRDefault="0004140D" w:rsidP="0004140D">
      <w:pPr>
        <w:pStyle w:val="BodyCopy"/>
        <w:jc w:val="both"/>
      </w:pPr>
    </w:p>
    <w:p w14:paraId="343F6D44" w14:textId="66F16DC7" w:rsidR="0004140D" w:rsidRPr="00650DCB" w:rsidRDefault="0004140D" w:rsidP="0004140D">
      <w:pPr>
        <w:pStyle w:val="BodyCopy"/>
        <w:jc w:val="both"/>
      </w:pPr>
      <w:r>
        <w:t xml:space="preserve">From the perspective of preferred types of sites for expansion, regional shopping centres clearly dominate, both for Czech tenants (42%) and for those from the CEE Region (58%). The ever-popular high streets figure in second place, followed by retail parks. </w:t>
      </w:r>
    </w:p>
    <w:p w14:paraId="004F88DF" w14:textId="77777777" w:rsidR="0004140D" w:rsidRPr="00650DCB" w:rsidRDefault="0004140D" w:rsidP="0004140D">
      <w:pPr>
        <w:pStyle w:val="BodyCopy"/>
        <w:jc w:val="both"/>
      </w:pPr>
    </w:p>
    <w:p w14:paraId="06428B36" w14:textId="5C7D6ED2" w:rsidR="0004140D" w:rsidRPr="00650DCB" w:rsidRDefault="0004140D" w:rsidP="0004140D">
      <w:pPr>
        <w:pStyle w:val="BodyCopy"/>
        <w:jc w:val="both"/>
      </w:pPr>
      <w:r>
        <w:t xml:space="preserve">The last area investigated was </w:t>
      </w:r>
      <w:r w:rsidR="00171165">
        <w:t>the</w:t>
      </w:r>
      <w:r>
        <w:t xml:space="preserve"> highly discussed topic of supply chains. The attitudes of Czech tenants and those from the CEE Region are similar, with 27% planning to focus on the targeted diversification of</w:t>
      </w:r>
      <w:r w:rsidR="008623A8">
        <w:t> </w:t>
      </w:r>
      <w:r>
        <w:t>the supply chain for the benefit of European suppliers and production destinations.</w:t>
      </w:r>
    </w:p>
    <w:p w14:paraId="736B8960" w14:textId="77777777" w:rsidR="0004140D" w:rsidRDefault="0004140D" w:rsidP="0019321F">
      <w:pPr>
        <w:pStyle w:val="BodyCopy"/>
        <w:jc w:val="both"/>
        <w:rPr>
          <w:b/>
          <w:bCs/>
          <w:highlight w:val="yellow"/>
        </w:rPr>
      </w:pPr>
    </w:p>
    <w:p w14:paraId="5861B741" w14:textId="77777777" w:rsidR="00CE1EB9" w:rsidRPr="00281456" w:rsidRDefault="00CE1EB9" w:rsidP="00CE1EB9">
      <w:pPr>
        <w:pStyle w:val="BodyCopy"/>
        <w:jc w:val="both"/>
        <w:rPr>
          <w:u w:val="single"/>
        </w:rPr>
      </w:pPr>
      <w:r>
        <w:rPr>
          <w:u w:val="single"/>
        </w:rPr>
        <w:t>About the Shopping Centre Index</w:t>
      </w:r>
    </w:p>
    <w:p w14:paraId="37C01EF7" w14:textId="1957DE7A" w:rsidR="00CE1EB9" w:rsidRDefault="00CE1EB9" w:rsidP="00CE1EB9">
      <w:pPr>
        <w:pStyle w:val="BodyCopy"/>
        <w:jc w:val="both"/>
      </w:pPr>
      <w:r>
        <w:t>The CBRE Shopping Centre Index is the only market indicator that constantly monitors the performance of regional shopping centres in the Czech Republic, ever since 2013. It analyses a sample of 21 shopping centres in regions (except Prague) with a retail area exceeding 600,000 m</w:t>
      </w:r>
      <w:r>
        <w:rPr>
          <w:vertAlign w:val="superscript"/>
        </w:rPr>
        <w:t>2</w:t>
      </w:r>
      <w:r>
        <w:t>, i.e., more than 35% of the total volume of shopping centres in the regions. Approximately 70 to 85% of the space is comprised of the</w:t>
      </w:r>
      <w:r w:rsidR="008623A8">
        <w:t> </w:t>
      </w:r>
      <w:r>
        <w:t>shopping mall, with the remainder taken up by grocery chains, multiplex cinemas and other leisure concepts, such as children’s corners, bowling alleys, casinos or car washes, which are found in up to a</w:t>
      </w:r>
      <w:r w:rsidR="008623A8">
        <w:t> </w:t>
      </w:r>
      <w:r>
        <w:t>third of the centres. These segments (apart from the shopping mall) are not part of the index, because they could cause a distortion of the results.</w:t>
      </w:r>
    </w:p>
    <w:p w14:paraId="6070C837" w14:textId="77777777" w:rsidR="00CE1EB9" w:rsidRDefault="00CE1EB9" w:rsidP="00CE1EB9">
      <w:pPr>
        <w:pStyle w:val="BodyCopy"/>
        <w:jc w:val="both"/>
      </w:pPr>
    </w:p>
    <w:p w14:paraId="61BDC1B1" w14:textId="77777777" w:rsidR="00CE1EB9" w:rsidRPr="00C6374A" w:rsidRDefault="00CE1EB9" w:rsidP="00CE1EB9">
      <w:pPr>
        <w:pStyle w:val="BodyCopy"/>
        <w:jc w:val="both"/>
        <w:rPr>
          <w:u w:val="single"/>
        </w:rPr>
      </w:pPr>
      <w:r>
        <w:rPr>
          <w:u w:val="single"/>
        </w:rPr>
        <w:t>More about the current surveys</w:t>
      </w:r>
    </w:p>
    <w:p w14:paraId="47BC89BA" w14:textId="77279E30" w:rsidR="00CE1EB9" w:rsidRDefault="00CE1EB9" w:rsidP="00CE1EB9">
      <w:pPr>
        <w:pStyle w:val="BodyCopy"/>
        <w:jc w:val="both"/>
        <w:rPr>
          <w:color w:val="425153"/>
        </w:rPr>
      </w:pPr>
      <w:r>
        <w:rPr>
          <w:color w:val="425153"/>
        </w:rPr>
        <w:t xml:space="preserve">The customer behaviour and preferences survey </w:t>
      </w:r>
      <w:proofErr w:type="gramStart"/>
      <w:r>
        <w:rPr>
          <w:color w:val="425153"/>
        </w:rPr>
        <w:t>was</w:t>
      </w:r>
      <w:proofErr w:type="gramEnd"/>
      <w:r>
        <w:rPr>
          <w:color w:val="425153"/>
        </w:rPr>
        <w:t xml:space="preserve"> conducted in the second half of March 2023, with</w:t>
      </w:r>
      <w:r w:rsidR="008623A8">
        <w:rPr>
          <w:color w:val="425153"/>
        </w:rPr>
        <w:t> </w:t>
      </w:r>
      <w:r>
        <w:rPr>
          <w:color w:val="425153"/>
        </w:rPr>
        <w:t>the</w:t>
      </w:r>
      <w:r w:rsidR="008623A8">
        <w:rPr>
          <w:color w:val="425153"/>
        </w:rPr>
        <w:t> </w:t>
      </w:r>
      <w:r>
        <w:rPr>
          <w:color w:val="425153"/>
        </w:rPr>
        <w:t>group of respondents representing almost 1,500 customers. The survey of retailers’ expectations and strategies was conducted in the first half of May of this year, where the group of respondents comprised more than 26 retailers operating in the Czech Republic at 1 400 shops/units in 7 main segments (</w:t>
      </w:r>
      <w:r w:rsidRPr="00CE1EB9">
        <w:rPr>
          <w:color w:val="425153"/>
        </w:rPr>
        <w:t>Fashion</w:t>
      </w:r>
      <w:r>
        <w:rPr>
          <w:color w:val="425153"/>
        </w:rPr>
        <w:t xml:space="preserve">, </w:t>
      </w:r>
      <w:r w:rsidR="00091319">
        <w:rPr>
          <w:color w:val="425153"/>
        </w:rPr>
        <w:t>H</w:t>
      </w:r>
      <w:r>
        <w:rPr>
          <w:color w:val="425153"/>
        </w:rPr>
        <w:t xml:space="preserve">ealth </w:t>
      </w:r>
      <w:r w:rsidR="00091319" w:rsidRPr="00CE1EB9">
        <w:rPr>
          <w:color w:val="425153"/>
        </w:rPr>
        <w:t>&amp;</w:t>
      </w:r>
      <w:r>
        <w:rPr>
          <w:color w:val="425153"/>
        </w:rPr>
        <w:t xml:space="preserve"> </w:t>
      </w:r>
      <w:r w:rsidR="00091319">
        <w:rPr>
          <w:color w:val="425153"/>
        </w:rPr>
        <w:t>B</w:t>
      </w:r>
      <w:r>
        <w:rPr>
          <w:color w:val="425153"/>
        </w:rPr>
        <w:t xml:space="preserve">eauty, </w:t>
      </w:r>
      <w:r w:rsidRPr="00CE1EB9">
        <w:rPr>
          <w:color w:val="425153"/>
        </w:rPr>
        <w:t>Food &amp; Beverage</w:t>
      </w:r>
      <w:r>
        <w:rPr>
          <w:color w:val="425153"/>
        </w:rPr>
        <w:t xml:space="preserve">, Services, </w:t>
      </w:r>
      <w:r w:rsidRPr="00CE1EB9">
        <w:rPr>
          <w:color w:val="425153"/>
        </w:rPr>
        <w:t>Leisure</w:t>
      </w:r>
      <w:r>
        <w:rPr>
          <w:color w:val="425153"/>
        </w:rPr>
        <w:t xml:space="preserve">, </w:t>
      </w:r>
      <w:r w:rsidRPr="00CE1EB9">
        <w:rPr>
          <w:color w:val="425153"/>
        </w:rPr>
        <w:t>Food</w:t>
      </w:r>
      <w:r>
        <w:rPr>
          <w:color w:val="425153"/>
        </w:rPr>
        <w:t xml:space="preserve"> and </w:t>
      </w:r>
      <w:r w:rsidRPr="00CE1EB9">
        <w:rPr>
          <w:color w:val="425153"/>
        </w:rPr>
        <w:t>Sports</w:t>
      </w:r>
      <w:r>
        <w:rPr>
          <w:color w:val="425153"/>
        </w:rPr>
        <w:t>) and another 43 brands that participated in the survey within the CEE region. Both surveys aimed at identifying what changes had occurred after the Covid-19 pandemic in the years 2020 to 2022 and in the current economic and</w:t>
      </w:r>
      <w:r w:rsidR="008623A8">
        <w:rPr>
          <w:color w:val="425153"/>
        </w:rPr>
        <w:t> </w:t>
      </w:r>
      <w:r>
        <w:rPr>
          <w:color w:val="425153"/>
        </w:rPr>
        <w:t xml:space="preserve">geopolitical environment. </w:t>
      </w:r>
    </w:p>
    <w:p w14:paraId="26FC8A06" w14:textId="77777777" w:rsidR="00CE1EB9" w:rsidRDefault="00CE1EB9" w:rsidP="00CE1EB9">
      <w:pPr>
        <w:pStyle w:val="BodyCopy"/>
        <w:jc w:val="both"/>
        <w:rPr>
          <w:u w:val="single"/>
        </w:rPr>
      </w:pPr>
    </w:p>
    <w:p w14:paraId="4147DFC5" w14:textId="77777777" w:rsidR="00CE1EB9" w:rsidRPr="001C5E35" w:rsidRDefault="00CE1EB9" w:rsidP="00CE1EB9">
      <w:pPr>
        <w:pStyle w:val="BodyCopy"/>
        <w:jc w:val="both"/>
        <w:rPr>
          <w:u w:val="single"/>
        </w:rPr>
      </w:pPr>
      <w:r>
        <w:rPr>
          <w:u w:val="single"/>
        </w:rPr>
        <w:t>ABOUT CBRE RETAIL</w:t>
      </w:r>
    </w:p>
    <w:p w14:paraId="7D606F5D" w14:textId="1FCD2866" w:rsidR="00CE1EB9" w:rsidRDefault="00CE1EB9" w:rsidP="00CE1EB9">
      <w:pPr>
        <w:pStyle w:val="BodyCopy"/>
        <w:jc w:val="both"/>
      </w:pPr>
      <w:r>
        <w:t xml:space="preserve">CBRE is an expert in the </w:t>
      </w:r>
      <w:r w:rsidR="00091319">
        <w:t xml:space="preserve">retail property </w:t>
      </w:r>
      <w:r>
        <w:t>management, currently managing 23 shopping centres and retail parks throughout the Czech Republic. It provides extensive and comprehensive consultation in the area of the purchase and sale of retail assets, the retail space</w:t>
      </w:r>
      <w:r w:rsidR="00091319">
        <w:t xml:space="preserve"> leasing</w:t>
      </w:r>
      <w:r>
        <w:t>, the representation of tenants when entering the Czech market and the optimisation of the network of shops and also the administration, marketing and</w:t>
      </w:r>
      <w:r w:rsidR="008623A8">
        <w:t> </w:t>
      </w:r>
      <w:r>
        <w:t xml:space="preserve">concept design of shopping centres and retail parks. </w:t>
      </w:r>
    </w:p>
    <w:p w14:paraId="579E73FF" w14:textId="77777777" w:rsidR="00536AE6" w:rsidRPr="003B44F1" w:rsidRDefault="00171165" w:rsidP="00536AE6">
      <w:pPr>
        <w:pStyle w:val="Contact"/>
      </w:pPr>
      <w:r>
        <w:br/>
      </w:r>
    </w:p>
    <w:p w14:paraId="5324836B" w14:textId="77777777" w:rsidR="00536AE6" w:rsidRDefault="00536AE6" w:rsidP="00536AE6">
      <w:pPr>
        <w:pStyle w:val="Contact"/>
      </w:pPr>
      <w:r w:rsidRPr="003B44F1">
        <w:t>Contact</w:t>
      </w:r>
      <w:r>
        <w:t>s</w:t>
      </w:r>
      <w:r w:rsidRPr="003B44F1">
        <w:t>:</w:t>
      </w:r>
      <w:r>
        <w:br/>
        <w:t xml:space="preserve">Crest Communications, </w:t>
      </w:r>
      <w:proofErr w:type="spellStart"/>
      <w:r>
        <w:t>a.s.</w:t>
      </w:r>
      <w:proofErr w:type="spellEnd"/>
    </w:p>
    <w:p w14:paraId="3AD27BE2" w14:textId="77777777" w:rsidR="00536AE6" w:rsidRDefault="00536AE6" w:rsidP="00536AE6">
      <w:pPr>
        <w:pStyle w:val="Contact"/>
        <w:rPr>
          <w:b w:val="0"/>
          <w:bCs w:val="0"/>
        </w:rPr>
      </w:pPr>
      <w:r>
        <w:rPr>
          <w:b w:val="0"/>
          <w:bCs w:val="0"/>
        </w:rPr>
        <w:t>Denisa Kolaříková</w:t>
      </w:r>
      <w:r>
        <w:rPr>
          <w:b w:val="0"/>
          <w:bCs w:val="0"/>
        </w:rPr>
        <w:tab/>
      </w:r>
      <w:r>
        <w:rPr>
          <w:b w:val="0"/>
          <w:bCs w:val="0"/>
        </w:rPr>
        <w:tab/>
      </w:r>
      <w:r>
        <w:rPr>
          <w:b w:val="0"/>
          <w:bCs w:val="0"/>
        </w:rPr>
        <w:tab/>
      </w:r>
      <w:r>
        <w:rPr>
          <w:b w:val="0"/>
          <w:bCs w:val="0"/>
        </w:rPr>
        <w:tab/>
      </w:r>
      <w:r>
        <w:rPr>
          <w:b w:val="0"/>
          <w:bCs w:val="0"/>
        </w:rPr>
        <w:tab/>
      </w:r>
      <w:r>
        <w:rPr>
          <w:b w:val="0"/>
          <w:bCs w:val="0"/>
        </w:rPr>
        <w:tab/>
        <w:t>Kamila Čadková</w:t>
      </w:r>
    </w:p>
    <w:p w14:paraId="37E7690A" w14:textId="77777777" w:rsidR="00536AE6" w:rsidRDefault="00536AE6" w:rsidP="00536AE6">
      <w:pPr>
        <w:pStyle w:val="Contact"/>
        <w:rPr>
          <w:b w:val="0"/>
          <w:bCs w:val="0"/>
        </w:rPr>
      </w:pPr>
      <w:r>
        <w:rPr>
          <w:b w:val="0"/>
          <w:bCs w:val="0"/>
        </w:rPr>
        <w:t>Account Manager</w:t>
      </w:r>
      <w:r>
        <w:rPr>
          <w:b w:val="0"/>
          <w:bCs w:val="0"/>
        </w:rPr>
        <w:tab/>
      </w:r>
      <w:r>
        <w:rPr>
          <w:b w:val="0"/>
          <w:bCs w:val="0"/>
        </w:rPr>
        <w:tab/>
      </w:r>
      <w:r>
        <w:rPr>
          <w:b w:val="0"/>
          <w:bCs w:val="0"/>
        </w:rPr>
        <w:tab/>
      </w:r>
      <w:r>
        <w:rPr>
          <w:b w:val="0"/>
          <w:bCs w:val="0"/>
        </w:rPr>
        <w:tab/>
      </w:r>
      <w:r>
        <w:rPr>
          <w:b w:val="0"/>
          <w:bCs w:val="0"/>
        </w:rPr>
        <w:tab/>
      </w:r>
      <w:r>
        <w:rPr>
          <w:b w:val="0"/>
          <w:bCs w:val="0"/>
        </w:rPr>
        <w:tab/>
        <w:t>Account Director</w:t>
      </w:r>
    </w:p>
    <w:p w14:paraId="43B5799A" w14:textId="77777777" w:rsidR="00536AE6" w:rsidRDefault="00536AE6" w:rsidP="00536AE6">
      <w:pPr>
        <w:pStyle w:val="Contact"/>
        <w:rPr>
          <w:b w:val="0"/>
          <w:bCs w:val="0"/>
        </w:rPr>
      </w:pPr>
      <w:r>
        <w:rPr>
          <w:b w:val="0"/>
          <w:bCs w:val="0"/>
        </w:rPr>
        <w:t>T: +420 731 613 606</w:t>
      </w:r>
      <w:r>
        <w:rPr>
          <w:b w:val="0"/>
          <w:bCs w:val="0"/>
        </w:rPr>
        <w:tab/>
      </w:r>
      <w:r>
        <w:rPr>
          <w:b w:val="0"/>
          <w:bCs w:val="0"/>
        </w:rPr>
        <w:tab/>
      </w:r>
      <w:r>
        <w:rPr>
          <w:b w:val="0"/>
          <w:bCs w:val="0"/>
        </w:rPr>
        <w:tab/>
      </w:r>
      <w:r>
        <w:rPr>
          <w:b w:val="0"/>
          <w:bCs w:val="0"/>
        </w:rPr>
        <w:tab/>
      </w:r>
      <w:r>
        <w:rPr>
          <w:b w:val="0"/>
          <w:bCs w:val="0"/>
        </w:rPr>
        <w:tab/>
      </w:r>
      <w:r>
        <w:rPr>
          <w:b w:val="0"/>
          <w:bCs w:val="0"/>
        </w:rPr>
        <w:tab/>
        <w:t>T: +420 731 613 609</w:t>
      </w:r>
    </w:p>
    <w:p w14:paraId="2406E209" w14:textId="77777777" w:rsidR="00536AE6" w:rsidRDefault="00536AE6" w:rsidP="00536AE6">
      <w:pPr>
        <w:pStyle w:val="Contact"/>
        <w:rPr>
          <w:b w:val="0"/>
          <w:bCs w:val="0"/>
        </w:rPr>
      </w:pPr>
      <w:r>
        <w:rPr>
          <w:b w:val="0"/>
          <w:bCs w:val="0"/>
        </w:rPr>
        <w:t xml:space="preserve">e-mail: </w:t>
      </w:r>
      <w:hyperlink r:id="rId11" w:history="1">
        <w:r>
          <w:rPr>
            <w:rStyle w:val="Hypertextovodkaz"/>
            <w:b w:val="0"/>
            <w:bCs w:val="0"/>
          </w:rPr>
          <w:t>denisa.kolarikova@crestcom.cz</w:t>
        </w:r>
      </w:hyperlink>
      <w:r>
        <w:rPr>
          <w:b w:val="0"/>
          <w:bCs w:val="0"/>
        </w:rPr>
        <w:t xml:space="preserve"> </w:t>
      </w:r>
      <w:r>
        <w:rPr>
          <w:b w:val="0"/>
          <w:bCs w:val="0"/>
        </w:rPr>
        <w:tab/>
      </w:r>
      <w:r>
        <w:rPr>
          <w:b w:val="0"/>
          <w:bCs w:val="0"/>
        </w:rPr>
        <w:tab/>
      </w:r>
      <w:r>
        <w:rPr>
          <w:b w:val="0"/>
          <w:bCs w:val="0"/>
        </w:rPr>
        <w:tab/>
        <w:t xml:space="preserve">e- mail: </w:t>
      </w:r>
      <w:hyperlink r:id="rId12" w:history="1">
        <w:r>
          <w:rPr>
            <w:rStyle w:val="Hypertextovodkaz"/>
            <w:b w:val="0"/>
            <w:bCs w:val="0"/>
          </w:rPr>
          <w:t>kamila.cadkova@crestcom.cz</w:t>
        </w:r>
      </w:hyperlink>
      <w:r>
        <w:rPr>
          <w:b w:val="0"/>
          <w:bCs w:val="0"/>
        </w:rPr>
        <w:t xml:space="preserve"> </w:t>
      </w:r>
    </w:p>
    <w:p w14:paraId="371A4BFC" w14:textId="77777777" w:rsidR="00536AE6" w:rsidRDefault="00000000" w:rsidP="00536AE6">
      <w:pPr>
        <w:pStyle w:val="Contact"/>
        <w:rPr>
          <w:b w:val="0"/>
          <w:bCs w:val="0"/>
        </w:rPr>
      </w:pPr>
      <w:hyperlink r:id="rId13" w:history="1">
        <w:r w:rsidR="00536AE6">
          <w:rPr>
            <w:rStyle w:val="Hypertextovodkaz"/>
            <w:b w:val="0"/>
            <w:bCs w:val="0"/>
          </w:rPr>
          <w:t>www.crestcom.cz</w:t>
        </w:r>
      </w:hyperlink>
    </w:p>
    <w:p w14:paraId="06E1DECA" w14:textId="77777777" w:rsidR="00536AE6" w:rsidRDefault="00536AE6" w:rsidP="00536AE6">
      <w:pPr>
        <w:pStyle w:val="Contact"/>
      </w:pPr>
    </w:p>
    <w:p w14:paraId="222C8F80" w14:textId="77777777" w:rsidR="00536AE6" w:rsidRDefault="00536AE6" w:rsidP="00536AE6">
      <w:pPr>
        <w:pStyle w:val="Contact"/>
      </w:pPr>
      <w:r>
        <w:t>CBRE</w:t>
      </w:r>
    </w:p>
    <w:p w14:paraId="2289EA1C" w14:textId="77777777" w:rsidR="00536AE6" w:rsidRDefault="00536AE6" w:rsidP="00536AE6">
      <w:pPr>
        <w:pStyle w:val="Contact"/>
        <w:rPr>
          <w:b w:val="0"/>
          <w:bCs w:val="0"/>
        </w:rPr>
      </w:pPr>
      <w:r>
        <w:rPr>
          <w:b w:val="0"/>
          <w:bCs w:val="0"/>
        </w:rPr>
        <w:t xml:space="preserve">Renata Mrázová, Communication Manager, +420 604 308 765, </w:t>
      </w:r>
      <w:hyperlink r:id="rId14">
        <w:r w:rsidRPr="28262B7D">
          <w:rPr>
            <w:rStyle w:val="Hypertextovodkaz"/>
            <w:b w:val="0"/>
            <w:bCs w:val="0"/>
          </w:rPr>
          <w:t>renata.mrazova@cbre.com</w:t>
        </w:r>
      </w:hyperlink>
      <w:r>
        <w:rPr>
          <w:b w:val="0"/>
          <w:bCs w:val="0"/>
        </w:rPr>
        <w:t xml:space="preserve"> </w:t>
      </w:r>
    </w:p>
    <w:p w14:paraId="1FE6E806" w14:textId="77777777" w:rsidR="00536AE6" w:rsidRDefault="00536AE6" w:rsidP="00536AE6">
      <w:pPr>
        <w:pStyle w:val="Contact"/>
        <w:rPr>
          <w:b w:val="0"/>
          <w:bCs w:val="0"/>
        </w:rPr>
      </w:pPr>
      <w:r>
        <w:rPr>
          <w:b w:val="0"/>
          <w:bCs w:val="0"/>
        </w:rPr>
        <w:t>CBRE Czech Republic</w:t>
      </w:r>
      <w:r>
        <w:rPr>
          <w:rStyle w:val="normaltextrun"/>
          <w:b w:val="0"/>
          <w:bCs w:val="0"/>
          <w:color w:val="1F497D"/>
        </w:rPr>
        <w:t> </w:t>
      </w:r>
      <w:proofErr w:type="spellStart"/>
      <w:r w:rsidR="006821FE">
        <w:fldChar w:fldCharType="begin"/>
      </w:r>
      <w:r w:rsidR="006821FE">
        <w:instrText xml:space="preserve"> HYPERLINK "https://www.linkedin.com/company/3585825?trk=tyah&amp;trkInfo=clickedVertical%253Acompany%252Cidx%253A1-1-1%252CtarId%253A1431360641868%252Ctas%253Acbre%2520czech" \t "_blank" </w:instrText>
      </w:r>
      <w:r w:rsidR="006821FE">
        <w:fldChar w:fldCharType="separate"/>
      </w:r>
      <w:r>
        <w:rPr>
          <w:rStyle w:val="normaltextrun"/>
          <w:b w:val="0"/>
          <w:bCs w:val="0"/>
          <w:color w:val="7FBBAD" w:themeColor="background2"/>
          <w:u w:val="single"/>
        </w:rPr>
        <w:t>Linkedin</w:t>
      </w:r>
      <w:proofErr w:type="spellEnd"/>
      <w:r w:rsidR="006821FE">
        <w:rPr>
          <w:rStyle w:val="normaltextrun"/>
          <w:b w:val="0"/>
          <w:bCs w:val="0"/>
          <w:color w:val="7FBBAD" w:themeColor="background2"/>
          <w:u w:val="single"/>
        </w:rPr>
        <w:fldChar w:fldCharType="end"/>
      </w:r>
      <w:r>
        <w:rPr>
          <w:b w:val="0"/>
          <w:bCs w:val="0"/>
        </w:rPr>
        <w:t xml:space="preserve"> </w:t>
      </w:r>
    </w:p>
    <w:p w14:paraId="785FFC54" w14:textId="77777777" w:rsidR="00536AE6" w:rsidRPr="00E02087" w:rsidRDefault="00536AE6" w:rsidP="00536AE6">
      <w:pPr>
        <w:pStyle w:val="BodyCopy"/>
      </w:pPr>
    </w:p>
    <w:p w14:paraId="15600DAB" w14:textId="77777777" w:rsidR="00536AE6" w:rsidRPr="003B44F1" w:rsidRDefault="00536AE6" w:rsidP="00536AE6">
      <w:pPr>
        <w:pStyle w:val="Boilerplate"/>
        <w:rPr>
          <w:u w:val="single"/>
        </w:rPr>
      </w:pPr>
      <w:r w:rsidRPr="28262B7D">
        <w:rPr>
          <w:u w:val="single"/>
        </w:rPr>
        <w:t>About CBRE Group, Inc.</w:t>
      </w:r>
    </w:p>
    <w:p w14:paraId="20F90302" w14:textId="77777777" w:rsidR="00536AE6" w:rsidRPr="00B45298" w:rsidRDefault="00536AE6" w:rsidP="00536AE6">
      <w:pPr>
        <w:pStyle w:val="Boilerplate"/>
        <w:jc w:val="both"/>
      </w:pPr>
      <w:r>
        <w:t>CBRE Group, Inc. (</w:t>
      </w:r>
      <w:proofErr w:type="gramStart"/>
      <w:r>
        <w:t>NYSE:CBRE</w:t>
      </w:r>
      <w:proofErr w:type="gramEnd"/>
      <w:r>
        <w:t xml:space="preserve">), a Fortune 500 and S&amp;P 500 company headquartered in Dallas, is the world’s largest commercial real estate services and investment firm (based on 2022 revenue). The company has approximately 115,000 employees (excluding Turner &amp; Townsend employees) serving clients in more than 100 countries. CBRE serves a diverse range of clients with an integrated suite of services, including facilities, transaction and project management; property management; investment management; appraisal and valuation; property leasing; strategic consulting; property sales; mortgage services and development services. With nearly 300 employees in the Czech </w:t>
      </w:r>
      <w:proofErr w:type="gramStart"/>
      <w:r>
        <w:t>Republic</w:t>
      </w:r>
      <w:proofErr w:type="gramEnd"/>
      <w:r>
        <w:t xml:space="preserve"> we manage around 75 commercial real estate buildings with a total area of 1.2 mil. </w:t>
      </w:r>
      <w:proofErr w:type="spellStart"/>
      <w:r>
        <w:t>sq</w:t>
      </w:r>
      <w:proofErr w:type="spellEnd"/>
      <w:r>
        <w:t xml:space="preserve"> m. Please visit our website at </w:t>
      </w:r>
      <w:hyperlink r:id="rId15">
        <w:r w:rsidRPr="28262B7D">
          <w:rPr>
            <w:rStyle w:val="Hypertextovodkaz"/>
          </w:rPr>
          <w:t>www.cbre.cz</w:t>
        </w:r>
      </w:hyperlink>
      <w:r>
        <w:t>.</w:t>
      </w:r>
    </w:p>
    <w:p w14:paraId="0EAA3D3D" w14:textId="77777777" w:rsidR="00171165" w:rsidRDefault="00171165" w:rsidP="00171165">
      <w:pPr>
        <w:pStyle w:val="Contact"/>
        <w:jc w:val="both"/>
      </w:pPr>
    </w:p>
    <w:p w14:paraId="5CC65DB9" w14:textId="77777777" w:rsidR="00DC44AF" w:rsidRDefault="00DC44AF" w:rsidP="00171165">
      <w:pPr>
        <w:pStyle w:val="BodyCopy"/>
        <w:jc w:val="both"/>
      </w:pPr>
    </w:p>
    <w:sectPr w:rsidR="00DC44AF" w:rsidSect="001C3B03">
      <w:headerReference w:type="default" r:id="rId16"/>
      <w:headerReference w:type="first" r:id="rId17"/>
      <w:pgSz w:w="12240" w:h="15840"/>
      <w:pgMar w:top="2430" w:right="1080" w:bottom="993" w:left="1080" w:header="180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CCDB4" w14:textId="77777777" w:rsidR="000C4AAE" w:rsidRDefault="000C4AAE" w:rsidP="00C63036">
      <w:r>
        <w:separator/>
      </w:r>
    </w:p>
  </w:endnote>
  <w:endnote w:type="continuationSeparator" w:id="0">
    <w:p w14:paraId="2E6CC69A" w14:textId="77777777" w:rsidR="000C4AAE" w:rsidRDefault="000C4AAE" w:rsidP="00C63036">
      <w:r>
        <w:continuationSeparator/>
      </w:r>
    </w:p>
  </w:endnote>
  <w:endnote w:type="continuationNotice" w:id="1">
    <w:p w14:paraId="46E4AC3C" w14:textId="77777777" w:rsidR="000C4AAE" w:rsidRDefault="000C4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EFF" w:usb1="C000785B" w:usb2="00000009" w:usb3="00000000" w:csb0="000001FF" w:csb1="00000000"/>
  </w:font>
  <w:font w:name="Futura Bk BT">
    <w:altName w:val="Segoe UI"/>
    <w:charset w:val="00"/>
    <w:family w:val="swiss"/>
    <w:pitch w:val="variable"/>
    <w:sig w:usb0="800000AF" w:usb1="1000204A" w:usb2="00000000" w:usb3="00000000" w:csb0="0000001B"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Calibre">
    <w:altName w:val="Calibri"/>
    <w:panose1 w:val="00000000000000000000"/>
    <w:charset w:val="00"/>
    <w:family w:val="swiss"/>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9B046" w14:textId="77777777" w:rsidR="000C4AAE" w:rsidRDefault="000C4AAE" w:rsidP="00C63036">
      <w:r>
        <w:separator/>
      </w:r>
    </w:p>
  </w:footnote>
  <w:footnote w:type="continuationSeparator" w:id="0">
    <w:p w14:paraId="4CED2575" w14:textId="77777777" w:rsidR="000C4AAE" w:rsidRDefault="000C4AAE" w:rsidP="00C63036">
      <w:r>
        <w:continuationSeparator/>
      </w:r>
    </w:p>
  </w:footnote>
  <w:footnote w:type="continuationNotice" w:id="1">
    <w:p w14:paraId="0B809C2C" w14:textId="77777777" w:rsidR="000C4AAE" w:rsidRDefault="000C4AAE"/>
  </w:footnote>
  <w:footnote w:id="2">
    <w:p w14:paraId="6D3D9A5B" w14:textId="7BC1AAF8" w:rsidR="008F5860" w:rsidRDefault="008F5860">
      <w:pPr>
        <w:pStyle w:val="Textpoznpodarou"/>
      </w:pPr>
      <w:r>
        <w:rPr>
          <w:rStyle w:val="Znakapoznpodarou"/>
        </w:rPr>
        <w:footnoteRef/>
      </w:r>
      <w:r>
        <w:t xml:space="preserve"> Special</w:t>
      </w:r>
      <w:r w:rsidR="00855A64">
        <w:t>ty</w:t>
      </w:r>
      <w:r>
        <w:t xml:space="preserve"> </w:t>
      </w:r>
      <w:r w:rsidR="00E00901">
        <w:t>R</w:t>
      </w:r>
      <w:r>
        <w:t xml:space="preserve">etail include, for example, </w:t>
      </w:r>
      <w:r w:rsidR="00130985">
        <w:t>drugstores</w:t>
      </w:r>
      <w:r>
        <w:t>, pharmacies, optics, bookshops and toy stores.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9633" w14:textId="6D891194" w:rsidR="00115F2F" w:rsidRPr="006F397C" w:rsidRDefault="7110F824" w:rsidP="0094537E">
    <w:pPr>
      <w:pStyle w:val="Zhlav"/>
      <w:jc w:val="right"/>
    </w:pPr>
    <w:r>
      <w:rPr>
        <w:rFonts w:ascii="Calibre" w:hAnsi="Calibre"/>
        <w:color w:val="003D30" w:themeColor="accent6"/>
        <w:sz w:val="16"/>
      </w:rPr>
      <w:t>CBRE Press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2A33" w14:textId="77777777" w:rsidR="00115F2F" w:rsidRDefault="00115F2F">
    <w:pPr>
      <w:pStyle w:val="Zhlav"/>
    </w:pPr>
    <w:r>
      <w:rPr>
        <w:noProof/>
      </w:rPr>
      <mc:AlternateContent>
        <mc:Choice Requires="wps">
          <w:drawing>
            <wp:anchor distT="0" distB="0" distL="114300" distR="114300" simplePos="0" relativeHeight="251658241" behindDoc="0" locked="0" layoutInCell="1" allowOverlap="1" wp14:anchorId="4696B59B" wp14:editId="1EC1E183">
              <wp:simplePos x="0" y="0"/>
              <wp:positionH relativeFrom="margin">
                <wp:posOffset>-9525</wp:posOffset>
              </wp:positionH>
              <wp:positionV relativeFrom="paragraph">
                <wp:posOffset>95885</wp:posOffset>
              </wp:positionV>
              <wp:extent cx="64008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03F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9CAD4" id="Straight Connector 4"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7.55pt" to="503.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" strokecolor="#003f2d" strokeweight="2.25pt">
              <v:stroke joinstyle="miter"/>
              <w10:wrap anchorx="margin"/>
            </v:line>
          </w:pict>
        </mc:Fallback>
      </mc:AlternateContent>
    </w:r>
    <w:r>
      <w:rPr>
        <w:noProof/>
      </w:rPr>
      <w:drawing>
        <wp:anchor distT="0" distB="0" distL="114300" distR="114300" simplePos="0" relativeHeight="251658242" behindDoc="1" locked="0" layoutInCell="1" allowOverlap="1" wp14:anchorId="0EF52F24" wp14:editId="6F1E35AB">
          <wp:simplePos x="0" y="0"/>
          <wp:positionH relativeFrom="column">
            <wp:posOffset>5358130</wp:posOffset>
          </wp:positionH>
          <wp:positionV relativeFrom="paragraph">
            <wp:posOffset>-454025</wp:posOffset>
          </wp:positionV>
          <wp:extent cx="1030226" cy="259081"/>
          <wp:effectExtent l="0" t="0" r="0" b="7620"/>
          <wp:wrapTight wrapText="bothSides">
            <wp:wrapPolygon edited="0">
              <wp:start x="400" y="0"/>
              <wp:lineTo x="0" y="4765"/>
              <wp:lineTo x="0" y="17471"/>
              <wp:lineTo x="400" y="20647"/>
              <wp:lineTo x="21174" y="20647"/>
              <wp:lineTo x="21174" y="0"/>
              <wp:lineTo x="400" y="0"/>
            </wp:wrapPolygon>
          </wp:wrapTight>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226" cy="259081"/>
                  </a:xfrm>
                  <a:prstGeom prst="rect">
                    <a:avLst/>
                  </a:prstGeom>
                </pic:spPr>
              </pic:pic>
            </a:graphicData>
          </a:graphic>
        </wp:anchor>
      </w:drawing>
    </w:r>
    <w:r>
      <w:rPr>
        <w:noProof/>
      </w:rPr>
      <mc:AlternateContent>
        <mc:Choice Requires="wps">
          <w:drawing>
            <wp:anchor distT="0" distB="0" distL="114300" distR="114300" simplePos="0" relativeHeight="251658240" behindDoc="0" locked="0" layoutInCell="1" allowOverlap="1" wp14:anchorId="74FDC6CC" wp14:editId="46C06CAE">
              <wp:simplePos x="0" y="0"/>
              <wp:positionH relativeFrom="column">
                <wp:posOffset>-9525</wp:posOffset>
              </wp:positionH>
              <wp:positionV relativeFrom="paragraph">
                <wp:posOffset>-685800</wp:posOffset>
              </wp:positionV>
              <wp:extent cx="4443730" cy="535305"/>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443730" cy="535305"/>
                      </a:xfrm>
                      <a:prstGeom prst="rect">
                        <a:avLst/>
                      </a:prstGeom>
                      <a:noFill/>
                      <a:ln w="6350">
                        <a:noFill/>
                      </a:ln>
                    </wps:spPr>
                    <wps:txbx>
                      <w:txbxContent>
                        <w:p w14:paraId="5F1630B1" w14:textId="56BB85C1" w:rsidR="00115F2F" w:rsidRPr="00F413B0" w:rsidRDefault="00115F2F" w:rsidP="00F51DB7">
                          <w:pPr>
                            <w:rPr>
                              <w:b/>
                              <w:bCs/>
                              <w:color w:val="003F2D"/>
                              <w:spacing w:val="-20"/>
                              <w:sz w:val="80"/>
                              <w:szCs w:val="80"/>
                            </w:rPr>
                          </w:pPr>
                          <w:r>
                            <w:rPr>
                              <w:b/>
                              <w:color w:val="003F2D"/>
                              <w:sz w:val="80"/>
                            </w:rPr>
                            <w:t xml:space="preserve">Press Release </w:t>
                          </w:r>
                          <w:proofErr w:type="spellStart"/>
                          <w:r>
                            <w:rPr>
                              <w:b/>
                              <w:color w:val="003F2D"/>
                              <w:sz w:val="80"/>
                            </w:rPr>
                            <w:t>Release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DC6CC" id="_x0000_t202" coordsize="21600,21600" o:spt="202" path="m,l,21600r21600,l21600,xe">
              <v:stroke joinstyle="miter"/>
              <v:path gradientshapeok="t" o:connecttype="rect"/>
            </v:shapetype>
            <v:shape id="Text Box 3" o:spid="_x0000_s1026" type="#_x0000_t202" style="position:absolute;margin-left:-.75pt;margin-top:-54pt;width:349.9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" filled="f" stroked="f" strokeweight=".5pt">
              <v:textbox inset="0,0,0,0">
                <w:txbxContent>
                  <w:p w14:paraId="5F1630B1" w14:textId="56BB85C1" w:rsidR="00115F2F" w:rsidRPr="00F413B0" w:rsidRDefault="00115F2F" w:rsidP="00F51DB7">
                    <w:pPr>
                      <w:rPr>
                        <w:b/>
                        <w:bCs/>
                        <w:color w:val="003F2D"/>
                        <w:spacing w:val="-20"/>
                        <w:sz w:val="80"/>
                        <w:szCs w:val="80"/>
                      </w:rPr>
                    </w:pPr>
                    <w:r>
                      <w:rPr>
                        <w:b/>
                        <w:color w:val="003F2D"/>
                        <w:sz w:val="80"/>
                      </w:rPr>
                      <w:t xml:space="preserve">Press Release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098"/>
    <w:multiLevelType w:val="hybridMultilevel"/>
    <w:tmpl w:val="82D6F2A4"/>
    <w:lvl w:ilvl="0" w:tplc="48509C48">
      <w:start w:val="1"/>
      <w:numFmt w:val="bullet"/>
      <w:lvlText w:val=""/>
      <w:lvlJc w:val="left"/>
      <w:pPr>
        <w:ind w:left="720" w:hanging="360"/>
      </w:pPr>
      <w:rPr>
        <w:rFonts w:ascii="Wingdings" w:hAnsi="Wingdings" w:hint="default"/>
      </w:rPr>
    </w:lvl>
    <w:lvl w:ilvl="1" w:tplc="094AACC2">
      <w:start w:val="1"/>
      <w:numFmt w:val="bullet"/>
      <w:lvlText w:val="o"/>
      <w:lvlJc w:val="left"/>
      <w:pPr>
        <w:ind w:left="1440" w:hanging="360"/>
      </w:pPr>
      <w:rPr>
        <w:rFonts w:ascii="Courier New" w:hAnsi="Courier New" w:hint="default"/>
      </w:rPr>
    </w:lvl>
    <w:lvl w:ilvl="2" w:tplc="365E28F0">
      <w:start w:val="1"/>
      <w:numFmt w:val="bullet"/>
      <w:lvlText w:val=""/>
      <w:lvlJc w:val="left"/>
      <w:pPr>
        <w:ind w:left="2160" w:hanging="360"/>
      </w:pPr>
      <w:rPr>
        <w:rFonts w:ascii="Wingdings" w:hAnsi="Wingdings" w:hint="default"/>
      </w:rPr>
    </w:lvl>
    <w:lvl w:ilvl="3" w:tplc="D842DA2A">
      <w:start w:val="1"/>
      <w:numFmt w:val="bullet"/>
      <w:lvlText w:val=""/>
      <w:lvlJc w:val="left"/>
      <w:pPr>
        <w:ind w:left="2880" w:hanging="360"/>
      </w:pPr>
      <w:rPr>
        <w:rFonts w:ascii="Symbol" w:hAnsi="Symbol" w:hint="default"/>
      </w:rPr>
    </w:lvl>
    <w:lvl w:ilvl="4" w:tplc="2B20C030">
      <w:start w:val="1"/>
      <w:numFmt w:val="bullet"/>
      <w:lvlText w:val="o"/>
      <w:lvlJc w:val="left"/>
      <w:pPr>
        <w:ind w:left="3600" w:hanging="360"/>
      </w:pPr>
      <w:rPr>
        <w:rFonts w:ascii="Courier New" w:hAnsi="Courier New" w:hint="default"/>
      </w:rPr>
    </w:lvl>
    <w:lvl w:ilvl="5" w:tplc="7F8A6AF8">
      <w:start w:val="1"/>
      <w:numFmt w:val="bullet"/>
      <w:lvlText w:val=""/>
      <w:lvlJc w:val="left"/>
      <w:pPr>
        <w:ind w:left="4320" w:hanging="360"/>
      </w:pPr>
      <w:rPr>
        <w:rFonts w:ascii="Wingdings" w:hAnsi="Wingdings" w:hint="default"/>
      </w:rPr>
    </w:lvl>
    <w:lvl w:ilvl="6" w:tplc="12C2F62E">
      <w:start w:val="1"/>
      <w:numFmt w:val="bullet"/>
      <w:lvlText w:val=""/>
      <w:lvlJc w:val="left"/>
      <w:pPr>
        <w:ind w:left="5040" w:hanging="360"/>
      </w:pPr>
      <w:rPr>
        <w:rFonts w:ascii="Symbol" w:hAnsi="Symbol" w:hint="default"/>
      </w:rPr>
    </w:lvl>
    <w:lvl w:ilvl="7" w:tplc="F7644604">
      <w:start w:val="1"/>
      <w:numFmt w:val="bullet"/>
      <w:lvlText w:val="o"/>
      <w:lvlJc w:val="left"/>
      <w:pPr>
        <w:ind w:left="5760" w:hanging="360"/>
      </w:pPr>
      <w:rPr>
        <w:rFonts w:ascii="Courier New" w:hAnsi="Courier New" w:hint="default"/>
      </w:rPr>
    </w:lvl>
    <w:lvl w:ilvl="8" w:tplc="5DB0C504">
      <w:start w:val="1"/>
      <w:numFmt w:val="bullet"/>
      <w:lvlText w:val=""/>
      <w:lvlJc w:val="left"/>
      <w:pPr>
        <w:ind w:left="6480" w:hanging="360"/>
      </w:pPr>
      <w:rPr>
        <w:rFonts w:ascii="Wingdings" w:hAnsi="Wingdings" w:hint="default"/>
      </w:rPr>
    </w:lvl>
  </w:abstractNum>
  <w:abstractNum w:abstractNumId="1" w15:restartNumberingAfterBreak="0">
    <w:nsid w:val="07AA2BFD"/>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931D54"/>
    <w:multiLevelType w:val="hybridMultilevel"/>
    <w:tmpl w:val="959284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9F5958"/>
    <w:multiLevelType w:val="hybridMultilevel"/>
    <w:tmpl w:val="C16AA5F4"/>
    <w:lvl w:ilvl="0" w:tplc="F93038D2">
      <w:start w:val="1"/>
      <w:numFmt w:val="bullet"/>
      <w:lvlText w:val="-"/>
      <w:lvlJc w:val="left"/>
      <w:pPr>
        <w:ind w:left="720" w:hanging="360"/>
      </w:pPr>
      <w:rPr>
        <w:rFonts w:ascii="Calibri" w:hAnsi="Calibri" w:hint="default"/>
      </w:rPr>
    </w:lvl>
    <w:lvl w:ilvl="1" w:tplc="49723232">
      <w:start w:val="1"/>
      <w:numFmt w:val="bullet"/>
      <w:lvlText w:val="o"/>
      <w:lvlJc w:val="left"/>
      <w:pPr>
        <w:ind w:left="1440" w:hanging="360"/>
      </w:pPr>
      <w:rPr>
        <w:rFonts w:ascii="Courier New" w:hAnsi="Courier New" w:hint="default"/>
      </w:rPr>
    </w:lvl>
    <w:lvl w:ilvl="2" w:tplc="13CA8244">
      <w:start w:val="1"/>
      <w:numFmt w:val="bullet"/>
      <w:lvlText w:val=""/>
      <w:lvlJc w:val="left"/>
      <w:pPr>
        <w:ind w:left="2160" w:hanging="360"/>
      </w:pPr>
      <w:rPr>
        <w:rFonts w:ascii="Wingdings" w:hAnsi="Wingdings" w:hint="default"/>
      </w:rPr>
    </w:lvl>
    <w:lvl w:ilvl="3" w:tplc="08AC2222">
      <w:start w:val="1"/>
      <w:numFmt w:val="bullet"/>
      <w:lvlText w:val=""/>
      <w:lvlJc w:val="left"/>
      <w:pPr>
        <w:ind w:left="2880" w:hanging="360"/>
      </w:pPr>
      <w:rPr>
        <w:rFonts w:ascii="Symbol" w:hAnsi="Symbol" w:hint="default"/>
      </w:rPr>
    </w:lvl>
    <w:lvl w:ilvl="4" w:tplc="FE68A4A6">
      <w:start w:val="1"/>
      <w:numFmt w:val="bullet"/>
      <w:lvlText w:val="o"/>
      <w:lvlJc w:val="left"/>
      <w:pPr>
        <w:ind w:left="3600" w:hanging="360"/>
      </w:pPr>
      <w:rPr>
        <w:rFonts w:ascii="Courier New" w:hAnsi="Courier New" w:hint="default"/>
      </w:rPr>
    </w:lvl>
    <w:lvl w:ilvl="5" w:tplc="DD187B84">
      <w:start w:val="1"/>
      <w:numFmt w:val="bullet"/>
      <w:lvlText w:val=""/>
      <w:lvlJc w:val="left"/>
      <w:pPr>
        <w:ind w:left="4320" w:hanging="360"/>
      </w:pPr>
      <w:rPr>
        <w:rFonts w:ascii="Wingdings" w:hAnsi="Wingdings" w:hint="default"/>
      </w:rPr>
    </w:lvl>
    <w:lvl w:ilvl="6" w:tplc="DC0A0208">
      <w:start w:val="1"/>
      <w:numFmt w:val="bullet"/>
      <w:lvlText w:val=""/>
      <w:lvlJc w:val="left"/>
      <w:pPr>
        <w:ind w:left="5040" w:hanging="360"/>
      </w:pPr>
      <w:rPr>
        <w:rFonts w:ascii="Symbol" w:hAnsi="Symbol" w:hint="default"/>
      </w:rPr>
    </w:lvl>
    <w:lvl w:ilvl="7" w:tplc="3AD8F9B8">
      <w:start w:val="1"/>
      <w:numFmt w:val="bullet"/>
      <w:lvlText w:val="o"/>
      <w:lvlJc w:val="left"/>
      <w:pPr>
        <w:ind w:left="5760" w:hanging="360"/>
      </w:pPr>
      <w:rPr>
        <w:rFonts w:ascii="Courier New" w:hAnsi="Courier New" w:hint="default"/>
      </w:rPr>
    </w:lvl>
    <w:lvl w:ilvl="8" w:tplc="9C5AA324">
      <w:start w:val="1"/>
      <w:numFmt w:val="bullet"/>
      <w:lvlText w:val=""/>
      <w:lvlJc w:val="left"/>
      <w:pPr>
        <w:ind w:left="6480" w:hanging="360"/>
      </w:pPr>
      <w:rPr>
        <w:rFonts w:ascii="Wingdings" w:hAnsi="Wingdings" w:hint="default"/>
      </w:rPr>
    </w:lvl>
  </w:abstractNum>
  <w:abstractNum w:abstractNumId="4" w15:restartNumberingAfterBreak="0">
    <w:nsid w:val="10CF7EE0"/>
    <w:multiLevelType w:val="hybridMultilevel"/>
    <w:tmpl w:val="64EAEF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1174035"/>
    <w:multiLevelType w:val="hybridMultilevel"/>
    <w:tmpl w:val="FA8A074E"/>
    <w:lvl w:ilvl="0" w:tplc="7062C3F8">
      <w:numFmt w:val="bullet"/>
      <w:lvlText w:val="•"/>
      <w:lvlJc w:val="left"/>
      <w:pPr>
        <w:ind w:left="1080" w:hanging="72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7B11466"/>
    <w:multiLevelType w:val="hybridMultilevel"/>
    <w:tmpl w:val="D2B612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BC25BE"/>
    <w:multiLevelType w:val="hybridMultilevel"/>
    <w:tmpl w:val="52FC0C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33B261AB"/>
    <w:multiLevelType w:val="hybridMultilevel"/>
    <w:tmpl w:val="719274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8B5ACD"/>
    <w:multiLevelType w:val="hybridMultilevel"/>
    <w:tmpl w:val="A9AE1370"/>
    <w:lvl w:ilvl="0" w:tplc="7062C3F8">
      <w:numFmt w:val="bullet"/>
      <w:lvlText w:val="•"/>
      <w:lvlJc w:val="left"/>
      <w:pPr>
        <w:ind w:left="1080" w:hanging="72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470373"/>
    <w:multiLevelType w:val="hybridMultilevel"/>
    <w:tmpl w:val="E6A83BA0"/>
    <w:lvl w:ilvl="0" w:tplc="D7A8F926">
      <w:start w:val="1"/>
      <w:numFmt w:val="bullet"/>
      <w:lvlText w:val=""/>
      <w:lvlJc w:val="left"/>
      <w:pPr>
        <w:ind w:left="720" w:hanging="360"/>
      </w:pPr>
      <w:rPr>
        <w:rFonts w:ascii="Symbol" w:hAnsi="Symbol" w:hint="default"/>
      </w:rPr>
    </w:lvl>
    <w:lvl w:ilvl="1" w:tplc="CE8A3992">
      <w:start w:val="1"/>
      <w:numFmt w:val="bullet"/>
      <w:lvlText w:val="o"/>
      <w:lvlJc w:val="left"/>
      <w:pPr>
        <w:ind w:left="1440" w:hanging="360"/>
      </w:pPr>
      <w:rPr>
        <w:rFonts w:ascii="Courier New" w:hAnsi="Courier New" w:hint="default"/>
      </w:rPr>
    </w:lvl>
    <w:lvl w:ilvl="2" w:tplc="241CD370">
      <w:start w:val="1"/>
      <w:numFmt w:val="bullet"/>
      <w:lvlText w:val=""/>
      <w:lvlJc w:val="left"/>
      <w:pPr>
        <w:ind w:left="2160" w:hanging="360"/>
      </w:pPr>
      <w:rPr>
        <w:rFonts w:ascii="Wingdings" w:hAnsi="Wingdings" w:hint="default"/>
      </w:rPr>
    </w:lvl>
    <w:lvl w:ilvl="3" w:tplc="F7DAEFAE">
      <w:start w:val="1"/>
      <w:numFmt w:val="bullet"/>
      <w:lvlText w:val=""/>
      <w:lvlJc w:val="left"/>
      <w:pPr>
        <w:ind w:left="2880" w:hanging="360"/>
      </w:pPr>
      <w:rPr>
        <w:rFonts w:ascii="Symbol" w:hAnsi="Symbol" w:hint="default"/>
      </w:rPr>
    </w:lvl>
    <w:lvl w:ilvl="4" w:tplc="A31E3B38">
      <w:start w:val="1"/>
      <w:numFmt w:val="bullet"/>
      <w:lvlText w:val="o"/>
      <w:lvlJc w:val="left"/>
      <w:pPr>
        <w:ind w:left="3600" w:hanging="360"/>
      </w:pPr>
      <w:rPr>
        <w:rFonts w:ascii="Courier New" w:hAnsi="Courier New" w:hint="default"/>
      </w:rPr>
    </w:lvl>
    <w:lvl w:ilvl="5" w:tplc="1F125498">
      <w:start w:val="1"/>
      <w:numFmt w:val="bullet"/>
      <w:lvlText w:val=""/>
      <w:lvlJc w:val="left"/>
      <w:pPr>
        <w:ind w:left="4320" w:hanging="360"/>
      </w:pPr>
      <w:rPr>
        <w:rFonts w:ascii="Wingdings" w:hAnsi="Wingdings" w:hint="default"/>
      </w:rPr>
    </w:lvl>
    <w:lvl w:ilvl="6" w:tplc="BBBCBB5C">
      <w:start w:val="1"/>
      <w:numFmt w:val="bullet"/>
      <w:lvlText w:val=""/>
      <w:lvlJc w:val="left"/>
      <w:pPr>
        <w:ind w:left="5040" w:hanging="360"/>
      </w:pPr>
      <w:rPr>
        <w:rFonts w:ascii="Symbol" w:hAnsi="Symbol" w:hint="default"/>
      </w:rPr>
    </w:lvl>
    <w:lvl w:ilvl="7" w:tplc="551A534C">
      <w:start w:val="1"/>
      <w:numFmt w:val="bullet"/>
      <w:lvlText w:val="o"/>
      <w:lvlJc w:val="left"/>
      <w:pPr>
        <w:ind w:left="5760" w:hanging="360"/>
      </w:pPr>
      <w:rPr>
        <w:rFonts w:ascii="Courier New" w:hAnsi="Courier New" w:hint="default"/>
      </w:rPr>
    </w:lvl>
    <w:lvl w:ilvl="8" w:tplc="E4984C56">
      <w:start w:val="1"/>
      <w:numFmt w:val="bullet"/>
      <w:lvlText w:val=""/>
      <w:lvlJc w:val="left"/>
      <w:pPr>
        <w:ind w:left="6480" w:hanging="360"/>
      </w:pPr>
      <w:rPr>
        <w:rFonts w:ascii="Wingdings" w:hAnsi="Wingdings" w:hint="default"/>
      </w:rPr>
    </w:lvl>
  </w:abstractNum>
  <w:abstractNum w:abstractNumId="11" w15:restartNumberingAfterBreak="0">
    <w:nsid w:val="54B4457A"/>
    <w:multiLevelType w:val="hybridMultilevel"/>
    <w:tmpl w:val="38D26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7E52FCA"/>
    <w:multiLevelType w:val="hybridMultilevel"/>
    <w:tmpl w:val="166EC9E0"/>
    <w:lvl w:ilvl="0" w:tplc="7062C3F8">
      <w:numFmt w:val="bullet"/>
      <w:lvlText w:val="•"/>
      <w:lvlJc w:val="left"/>
      <w:pPr>
        <w:ind w:left="1440" w:hanging="72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5F687567"/>
    <w:multiLevelType w:val="hybridMultilevel"/>
    <w:tmpl w:val="9FC4A3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F8E0623"/>
    <w:multiLevelType w:val="hybridMultilevel"/>
    <w:tmpl w:val="2E46B2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25367B2"/>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64B821BF"/>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7E555383"/>
    <w:multiLevelType w:val="hybridMultilevel"/>
    <w:tmpl w:val="AE6CD14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409377724">
    <w:abstractNumId w:val="10"/>
  </w:num>
  <w:num w:numId="2" w16cid:durableId="371275439">
    <w:abstractNumId w:val="3"/>
  </w:num>
  <w:num w:numId="3" w16cid:durableId="1627736478">
    <w:abstractNumId w:val="0"/>
  </w:num>
  <w:num w:numId="4" w16cid:durableId="1307778211">
    <w:abstractNumId w:val="11"/>
  </w:num>
  <w:num w:numId="5" w16cid:durableId="1429235512">
    <w:abstractNumId w:val="8"/>
  </w:num>
  <w:num w:numId="6" w16cid:durableId="192814388">
    <w:abstractNumId w:val="14"/>
  </w:num>
  <w:num w:numId="7" w16cid:durableId="768741015">
    <w:abstractNumId w:val="2"/>
  </w:num>
  <w:num w:numId="8" w16cid:durableId="19671993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2117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57747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57518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76309931">
    <w:abstractNumId w:val="7"/>
  </w:num>
  <w:num w:numId="13" w16cid:durableId="1347438412">
    <w:abstractNumId w:val="1"/>
  </w:num>
  <w:num w:numId="14" w16cid:durableId="870189353">
    <w:abstractNumId w:val="4"/>
  </w:num>
  <w:num w:numId="15" w16cid:durableId="2001928573">
    <w:abstractNumId w:val="13"/>
  </w:num>
  <w:num w:numId="16" w16cid:durableId="936838041">
    <w:abstractNumId w:val="6"/>
  </w:num>
  <w:num w:numId="17" w16cid:durableId="1529680574">
    <w:abstractNumId w:val="9"/>
  </w:num>
  <w:num w:numId="18" w16cid:durableId="1974797345">
    <w:abstractNumId w:val="5"/>
  </w:num>
  <w:num w:numId="19" w16cid:durableId="18184950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rQwM7M0MDK2NLQ0NTRT0lEKTi0uzszPAykwrAUAtFhyliwAAAA="/>
  </w:docVars>
  <w:rsids>
    <w:rsidRoot w:val="00A9707D"/>
    <w:rsid w:val="00001EF2"/>
    <w:rsid w:val="00006B35"/>
    <w:rsid w:val="00011123"/>
    <w:rsid w:val="00013C3C"/>
    <w:rsid w:val="00022DFB"/>
    <w:rsid w:val="00024C27"/>
    <w:rsid w:val="00027BFC"/>
    <w:rsid w:val="00031349"/>
    <w:rsid w:val="000323F9"/>
    <w:rsid w:val="00034D71"/>
    <w:rsid w:val="00034E77"/>
    <w:rsid w:val="00036013"/>
    <w:rsid w:val="00036703"/>
    <w:rsid w:val="0004140D"/>
    <w:rsid w:val="00042177"/>
    <w:rsid w:val="000427AB"/>
    <w:rsid w:val="000430C3"/>
    <w:rsid w:val="00047123"/>
    <w:rsid w:val="0005236C"/>
    <w:rsid w:val="000605A8"/>
    <w:rsid w:val="000610B5"/>
    <w:rsid w:val="00064421"/>
    <w:rsid w:val="00064B63"/>
    <w:rsid w:val="00066A5D"/>
    <w:rsid w:val="00073176"/>
    <w:rsid w:val="00073D69"/>
    <w:rsid w:val="00076B7D"/>
    <w:rsid w:val="00082A11"/>
    <w:rsid w:val="00083332"/>
    <w:rsid w:val="00084292"/>
    <w:rsid w:val="000852B4"/>
    <w:rsid w:val="00086756"/>
    <w:rsid w:val="000911A0"/>
    <w:rsid w:val="00091319"/>
    <w:rsid w:val="000945C6"/>
    <w:rsid w:val="000963FA"/>
    <w:rsid w:val="000978B8"/>
    <w:rsid w:val="000A201F"/>
    <w:rsid w:val="000A4CDC"/>
    <w:rsid w:val="000A542D"/>
    <w:rsid w:val="000A645F"/>
    <w:rsid w:val="000B16DF"/>
    <w:rsid w:val="000B2630"/>
    <w:rsid w:val="000B2B6E"/>
    <w:rsid w:val="000B63A2"/>
    <w:rsid w:val="000B7E88"/>
    <w:rsid w:val="000C042E"/>
    <w:rsid w:val="000C0ED9"/>
    <w:rsid w:val="000C2615"/>
    <w:rsid w:val="000C2C26"/>
    <w:rsid w:val="000C4AAE"/>
    <w:rsid w:val="000D0E06"/>
    <w:rsid w:val="000D15DE"/>
    <w:rsid w:val="000D2F28"/>
    <w:rsid w:val="000D55A6"/>
    <w:rsid w:val="000D5A36"/>
    <w:rsid w:val="000D5EA2"/>
    <w:rsid w:val="000E0754"/>
    <w:rsid w:val="000E0AD7"/>
    <w:rsid w:val="000E1B25"/>
    <w:rsid w:val="000E2033"/>
    <w:rsid w:val="000E3EC9"/>
    <w:rsid w:val="000E513F"/>
    <w:rsid w:val="000E526C"/>
    <w:rsid w:val="000E7A71"/>
    <w:rsid w:val="000F00C6"/>
    <w:rsid w:val="0010048E"/>
    <w:rsid w:val="001037B7"/>
    <w:rsid w:val="00103D51"/>
    <w:rsid w:val="00104BD1"/>
    <w:rsid w:val="00106473"/>
    <w:rsid w:val="0011164C"/>
    <w:rsid w:val="00115F2F"/>
    <w:rsid w:val="001239D5"/>
    <w:rsid w:val="001262EF"/>
    <w:rsid w:val="00130985"/>
    <w:rsid w:val="00133DC3"/>
    <w:rsid w:val="00140E0A"/>
    <w:rsid w:val="001417A0"/>
    <w:rsid w:val="0014277B"/>
    <w:rsid w:val="00144797"/>
    <w:rsid w:val="00146D69"/>
    <w:rsid w:val="00146E80"/>
    <w:rsid w:val="00147ECB"/>
    <w:rsid w:val="00152263"/>
    <w:rsid w:val="00152866"/>
    <w:rsid w:val="00155B0A"/>
    <w:rsid w:val="001607B0"/>
    <w:rsid w:val="00161A49"/>
    <w:rsid w:val="00165AEE"/>
    <w:rsid w:val="00171104"/>
    <w:rsid w:val="00171165"/>
    <w:rsid w:val="00175E2E"/>
    <w:rsid w:val="00177CB0"/>
    <w:rsid w:val="0018097E"/>
    <w:rsid w:val="0018336D"/>
    <w:rsid w:val="00185C3B"/>
    <w:rsid w:val="001918FD"/>
    <w:rsid w:val="0019321F"/>
    <w:rsid w:val="0019428F"/>
    <w:rsid w:val="00195D90"/>
    <w:rsid w:val="00195F3D"/>
    <w:rsid w:val="001A0575"/>
    <w:rsid w:val="001A36EB"/>
    <w:rsid w:val="001A511A"/>
    <w:rsid w:val="001B526D"/>
    <w:rsid w:val="001C2386"/>
    <w:rsid w:val="001C3456"/>
    <w:rsid w:val="001C3B03"/>
    <w:rsid w:val="001C4003"/>
    <w:rsid w:val="001C5E35"/>
    <w:rsid w:val="001C65FC"/>
    <w:rsid w:val="001D3D4D"/>
    <w:rsid w:val="001E20EF"/>
    <w:rsid w:val="001E24E3"/>
    <w:rsid w:val="001E260E"/>
    <w:rsid w:val="001E4D37"/>
    <w:rsid w:val="001E4EE5"/>
    <w:rsid w:val="001E57DD"/>
    <w:rsid w:val="001F3007"/>
    <w:rsid w:val="001F45AB"/>
    <w:rsid w:val="001F758F"/>
    <w:rsid w:val="001F7792"/>
    <w:rsid w:val="001F77D0"/>
    <w:rsid w:val="00201D5E"/>
    <w:rsid w:val="002054D4"/>
    <w:rsid w:val="00206799"/>
    <w:rsid w:val="002068B0"/>
    <w:rsid w:val="00207A72"/>
    <w:rsid w:val="0021614D"/>
    <w:rsid w:val="0022034E"/>
    <w:rsid w:val="002230E1"/>
    <w:rsid w:val="0022327F"/>
    <w:rsid w:val="00223919"/>
    <w:rsid w:val="00224284"/>
    <w:rsid w:val="00226F5A"/>
    <w:rsid w:val="0023028A"/>
    <w:rsid w:val="00230A52"/>
    <w:rsid w:val="00232670"/>
    <w:rsid w:val="00237EAC"/>
    <w:rsid w:val="00252372"/>
    <w:rsid w:val="002548CC"/>
    <w:rsid w:val="002555E9"/>
    <w:rsid w:val="00261D49"/>
    <w:rsid w:val="002621EA"/>
    <w:rsid w:val="00262BA0"/>
    <w:rsid w:val="0026361D"/>
    <w:rsid w:val="002657ED"/>
    <w:rsid w:val="00266221"/>
    <w:rsid w:val="00266A9E"/>
    <w:rsid w:val="002674DC"/>
    <w:rsid w:val="00267AD2"/>
    <w:rsid w:val="00273413"/>
    <w:rsid w:val="00276E24"/>
    <w:rsid w:val="00281456"/>
    <w:rsid w:val="00287942"/>
    <w:rsid w:val="00293D28"/>
    <w:rsid w:val="00294495"/>
    <w:rsid w:val="002A261E"/>
    <w:rsid w:val="002A6160"/>
    <w:rsid w:val="002B1303"/>
    <w:rsid w:val="002B390A"/>
    <w:rsid w:val="002B7FD8"/>
    <w:rsid w:val="002C227D"/>
    <w:rsid w:val="002C36AD"/>
    <w:rsid w:val="002C5CA1"/>
    <w:rsid w:val="002C64B4"/>
    <w:rsid w:val="002C7021"/>
    <w:rsid w:val="002C7033"/>
    <w:rsid w:val="002C7BCA"/>
    <w:rsid w:val="002C98C0"/>
    <w:rsid w:val="002D06D1"/>
    <w:rsid w:val="002E0C8E"/>
    <w:rsid w:val="002E1BB9"/>
    <w:rsid w:val="002E3A2F"/>
    <w:rsid w:val="002E3D27"/>
    <w:rsid w:val="002E54FA"/>
    <w:rsid w:val="002E7C8A"/>
    <w:rsid w:val="002F2B5C"/>
    <w:rsid w:val="002F3F59"/>
    <w:rsid w:val="002F450A"/>
    <w:rsid w:val="003007B4"/>
    <w:rsid w:val="003033AF"/>
    <w:rsid w:val="00303571"/>
    <w:rsid w:val="00305612"/>
    <w:rsid w:val="00311123"/>
    <w:rsid w:val="00313FE7"/>
    <w:rsid w:val="00315A3E"/>
    <w:rsid w:val="003166CF"/>
    <w:rsid w:val="0031755B"/>
    <w:rsid w:val="00321CEA"/>
    <w:rsid w:val="00323E55"/>
    <w:rsid w:val="0032734C"/>
    <w:rsid w:val="0033036E"/>
    <w:rsid w:val="00330A0E"/>
    <w:rsid w:val="003326D7"/>
    <w:rsid w:val="00332928"/>
    <w:rsid w:val="00336BC6"/>
    <w:rsid w:val="003436C8"/>
    <w:rsid w:val="00347358"/>
    <w:rsid w:val="003509E7"/>
    <w:rsid w:val="00351A24"/>
    <w:rsid w:val="00351A3D"/>
    <w:rsid w:val="003629D4"/>
    <w:rsid w:val="00364A3D"/>
    <w:rsid w:val="00364ACC"/>
    <w:rsid w:val="0037184B"/>
    <w:rsid w:val="00371FE1"/>
    <w:rsid w:val="003759D2"/>
    <w:rsid w:val="003762E9"/>
    <w:rsid w:val="00377C01"/>
    <w:rsid w:val="0037BECA"/>
    <w:rsid w:val="003805B8"/>
    <w:rsid w:val="00381083"/>
    <w:rsid w:val="00381F9C"/>
    <w:rsid w:val="00382972"/>
    <w:rsid w:val="00383844"/>
    <w:rsid w:val="00385EC2"/>
    <w:rsid w:val="003879FD"/>
    <w:rsid w:val="0039F7DB"/>
    <w:rsid w:val="003A01D5"/>
    <w:rsid w:val="003A0E82"/>
    <w:rsid w:val="003A1D26"/>
    <w:rsid w:val="003A362E"/>
    <w:rsid w:val="003A4ACE"/>
    <w:rsid w:val="003A5886"/>
    <w:rsid w:val="003A744E"/>
    <w:rsid w:val="003B0B9B"/>
    <w:rsid w:val="003B280F"/>
    <w:rsid w:val="003B2B61"/>
    <w:rsid w:val="003B3643"/>
    <w:rsid w:val="003B3C1C"/>
    <w:rsid w:val="003B44F1"/>
    <w:rsid w:val="003B4A19"/>
    <w:rsid w:val="003B4BE6"/>
    <w:rsid w:val="003B5E82"/>
    <w:rsid w:val="003B646C"/>
    <w:rsid w:val="003B708F"/>
    <w:rsid w:val="003C248E"/>
    <w:rsid w:val="003C6C45"/>
    <w:rsid w:val="003D21FA"/>
    <w:rsid w:val="003D3477"/>
    <w:rsid w:val="003D5DAD"/>
    <w:rsid w:val="003E1AC7"/>
    <w:rsid w:val="003E1EF6"/>
    <w:rsid w:val="003E2473"/>
    <w:rsid w:val="003E3C2F"/>
    <w:rsid w:val="003E4EA9"/>
    <w:rsid w:val="003E5565"/>
    <w:rsid w:val="003F3C34"/>
    <w:rsid w:val="004004C4"/>
    <w:rsid w:val="0040093E"/>
    <w:rsid w:val="004024ED"/>
    <w:rsid w:val="0040396C"/>
    <w:rsid w:val="00404771"/>
    <w:rsid w:val="00405157"/>
    <w:rsid w:val="004057D0"/>
    <w:rsid w:val="00407C9E"/>
    <w:rsid w:val="0041025D"/>
    <w:rsid w:val="004113B2"/>
    <w:rsid w:val="00417175"/>
    <w:rsid w:val="00417299"/>
    <w:rsid w:val="004208A1"/>
    <w:rsid w:val="004208AB"/>
    <w:rsid w:val="00421E65"/>
    <w:rsid w:val="00423455"/>
    <w:rsid w:val="00424070"/>
    <w:rsid w:val="0042428B"/>
    <w:rsid w:val="00425DDB"/>
    <w:rsid w:val="00425E49"/>
    <w:rsid w:val="00430C4F"/>
    <w:rsid w:val="00430EB5"/>
    <w:rsid w:val="0043276E"/>
    <w:rsid w:val="004347E2"/>
    <w:rsid w:val="00442EEC"/>
    <w:rsid w:val="0044353B"/>
    <w:rsid w:val="00444E11"/>
    <w:rsid w:val="00447D48"/>
    <w:rsid w:val="00452C9F"/>
    <w:rsid w:val="00460E50"/>
    <w:rsid w:val="00466234"/>
    <w:rsid w:val="0047175F"/>
    <w:rsid w:val="00474060"/>
    <w:rsid w:val="004751F9"/>
    <w:rsid w:val="004770D3"/>
    <w:rsid w:val="00480C87"/>
    <w:rsid w:val="00482C00"/>
    <w:rsid w:val="004833D9"/>
    <w:rsid w:val="00485562"/>
    <w:rsid w:val="00491A18"/>
    <w:rsid w:val="00491E6E"/>
    <w:rsid w:val="0049430D"/>
    <w:rsid w:val="004945D2"/>
    <w:rsid w:val="004967E4"/>
    <w:rsid w:val="00496864"/>
    <w:rsid w:val="004A445A"/>
    <w:rsid w:val="004A4C0D"/>
    <w:rsid w:val="004A6446"/>
    <w:rsid w:val="004B2080"/>
    <w:rsid w:val="004B52FA"/>
    <w:rsid w:val="004B5AEC"/>
    <w:rsid w:val="004B681A"/>
    <w:rsid w:val="004C3FAA"/>
    <w:rsid w:val="004C4C0A"/>
    <w:rsid w:val="004C4FA3"/>
    <w:rsid w:val="004C548A"/>
    <w:rsid w:val="004C5F4E"/>
    <w:rsid w:val="004D2BC5"/>
    <w:rsid w:val="004D3EEF"/>
    <w:rsid w:val="004D46E1"/>
    <w:rsid w:val="004D6E1F"/>
    <w:rsid w:val="004D761F"/>
    <w:rsid w:val="004E27E2"/>
    <w:rsid w:val="004E2EE7"/>
    <w:rsid w:val="004E46A5"/>
    <w:rsid w:val="00502ED9"/>
    <w:rsid w:val="00503209"/>
    <w:rsid w:val="005035B4"/>
    <w:rsid w:val="0050793C"/>
    <w:rsid w:val="00511AA9"/>
    <w:rsid w:val="00512BD9"/>
    <w:rsid w:val="00514E8C"/>
    <w:rsid w:val="005207FD"/>
    <w:rsid w:val="00521BCC"/>
    <w:rsid w:val="00521CAB"/>
    <w:rsid w:val="00526BE9"/>
    <w:rsid w:val="00536AE6"/>
    <w:rsid w:val="00537A0F"/>
    <w:rsid w:val="00543190"/>
    <w:rsid w:val="00543D63"/>
    <w:rsid w:val="00544DD2"/>
    <w:rsid w:val="00545FCD"/>
    <w:rsid w:val="0054669E"/>
    <w:rsid w:val="0054772F"/>
    <w:rsid w:val="0055046C"/>
    <w:rsid w:val="0055185E"/>
    <w:rsid w:val="00552462"/>
    <w:rsid w:val="00553A6F"/>
    <w:rsid w:val="00554FEE"/>
    <w:rsid w:val="00555E73"/>
    <w:rsid w:val="0055626C"/>
    <w:rsid w:val="005668D7"/>
    <w:rsid w:val="0057480D"/>
    <w:rsid w:val="0057604E"/>
    <w:rsid w:val="00576FD6"/>
    <w:rsid w:val="005810C8"/>
    <w:rsid w:val="005810DB"/>
    <w:rsid w:val="00582C80"/>
    <w:rsid w:val="00582CA9"/>
    <w:rsid w:val="00584E27"/>
    <w:rsid w:val="00585175"/>
    <w:rsid w:val="0059139A"/>
    <w:rsid w:val="005B0E68"/>
    <w:rsid w:val="005B12FD"/>
    <w:rsid w:val="005B1B8F"/>
    <w:rsid w:val="005B24B6"/>
    <w:rsid w:val="005B39DC"/>
    <w:rsid w:val="005B3B0D"/>
    <w:rsid w:val="005B4C25"/>
    <w:rsid w:val="005C1520"/>
    <w:rsid w:val="005C1891"/>
    <w:rsid w:val="005C22BE"/>
    <w:rsid w:val="005C3018"/>
    <w:rsid w:val="005C51FE"/>
    <w:rsid w:val="005C6701"/>
    <w:rsid w:val="005D117E"/>
    <w:rsid w:val="005D7669"/>
    <w:rsid w:val="005E0CCD"/>
    <w:rsid w:val="005E190B"/>
    <w:rsid w:val="005E2E39"/>
    <w:rsid w:val="005E33FC"/>
    <w:rsid w:val="005E77E6"/>
    <w:rsid w:val="005F0A6A"/>
    <w:rsid w:val="005F0AAC"/>
    <w:rsid w:val="005F0D72"/>
    <w:rsid w:val="005F7F99"/>
    <w:rsid w:val="006014CD"/>
    <w:rsid w:val="00601627"/>
    <w:rsid w:val="00601D80"/>
    <w:rsid w:val="00601D8C"/>
    <w:rsid w:val="006069F2"/>
    <w:rsid w:val="006077F7"/>
    <w:rsid w:val="00611710"/>
    <w:rsid w:val="006126B4"/>
    <w:rsid w:val="00612C44"/>
    <w:rsid w:val="00616375"/>
    <w:rsid w:val="006171AF"/>
    <w:rsid w:val="006208D3"/>
    <w:rsid w:val="00620D13"/>
    <w:rsid w:val="00620EF8"/>
    <w:rsid w:val="00621978"/>
    <w:rsid w:val="00626571"/>
    <w:rsid w:val="0063201B"/>
    <w:rsid w:val="0063267C"/>
    <w:rsid w:val="006347DD"/>
    <w:rsid w:val="0063505D"/>
    <w:rsid w:val="00635095"/>
    <w:rsid w:val="00635801"/>
    <w:rsid w:val="006366C2"/>
    <w:rsid w:val="00641D3C"/>
    <w:rsid w:val="00643734"/>
    <w:rsid w:val="00644281"/>
    <w:rsid w:val="0064699D"/>
    <w:rsid w:val="00651367"/>
    <w:rsid w:val="00656B4F"/>
    <w:rsid w:val="00661ABD"/>
    <w:rsid w:val="00662858"/>
    <w:rsid w:val="006647A6"/>
    <w:rsid w:val="006665B5"/>
    <w:rsid w:val="00666716"/>
    <w:rsid w:val="006669A9"/>
    <w:rsid w:val="00670C77"/>
    <w:rsid w:val="006725EE"/>
    <w:rsid w:val="00672E63"/>
    <w:rsid w:val="006738F2"/>
    <w:rsid w:val="006812FD"/>
    <w:rsid w:val="006821FE"/>
    <w:rsid w:val="006828C4"/>
    <w:rsid w:val="00682A2A"/>
    <w:rsid w:val="00683334"/>
    <w:rsid w:val="00684F03"/>
    <w:rsid w:val="00685808"/>
    <w:rsid w:val="00686097"/>
    <w:rsid w:val="00686620"/>
    <w:rsid w:val="00690DBA"/>
    <w:rsid w:val="00692AC5"/>
    <w:rsid w:val="00693D8B"/>
    <w:rsid w:val="00695072"/>
    <w:rsid w:val="00697E65"/>
    <w:rsid w:val="006A0C5B"/>
    <w:rsid w:val="006A0EEA"/>
    <w:rsid w:val="006A1A3A"/>
    <w:rsid w:val="006A1FA6"/>
    <w:rsid w:val="006A35F1"/>
    <w:rsid w:val="006A4D92"/>
    <w:rsid w:val="006B152B"/>
    <w:rsid w:val="006B18D6"/>
    <w:rsid w:val="006B3288"/>
    <w:rsid w:val="006B457A"/>
    <w:rsid w:val="006B612A"/>
    <w:rsid w:val="006B70CD"/>
    <w:rsid w:val="006C2970"/>
    <w:rsid w:val="006C3991"/>
    <w:rsid w:val="006C7D7C"/>
    <w:rsid w:val="006D0593"/>
    <w:rsid w:val="006D13B7"/>
    <w:rsid w:val="006D60F7"/>
    <w:rsid w:val="006D63A5"/>
    <w:rsid w:val="006E2456"/>
    <w:rsid w:val="006E44C4"/>
    <w:rsid w:val="006E4FAE"/>
    <w:rsid w:val="006E5066"/>
    <w:rsid w:val="006E6A12"/>
    <w:rsid w:val="006E75FE"/>
    <w:rsid w:val="006F1C7F"/>
    <w:rsid w:val="006F397C"/>
    <w:rsid w:val="007001C2"/>
    <w:rsid w:val="00700D68"/>
    <w:rsid w:val="00704CD1"/>
    <w:rsid w:val="00715225"/>
    <w:rsid w:val="00716A5B"/>
    <w:rsid w:val="007176C8"/>
    <w:rsid w:val="00721C63"/>
    <w:rsid w:val="00721EF9"/>
    <w:rsid w:val="00722C2A"/>
    <w:rsid w:val="00724A94"/>
    <w:rsid w:val="00725AC5"/>
    <w:rsid w:val="00730D61"/>
    <w:rsid w:val="00732D46"/>
    <w:rsid w:val="007338EB"/>
    <w:rsid w:val="00736A55"/>
    <w:rsid w:val="00736F66"/>
    <w:rsid w:val="00736FC2"/>
    <w:rsid w:val="00740BDE"/>
    <w:rsid w:val="00742D8F"/>
    <w:rsid w:val="00745682"/>
    <w:rsid w:val="00746CEA"/>
    <w:rsid w:val="00753072"/>
    <w:rsid w:val="007542AD"/>
    <w:rsid w:val="00764665"/>
    <w:rsid w:val="00765ED1"/>
    <w:rsid w:val="007678F4"/>
    <w:rsid w:val="00771910"/>
    <w:rsid w:val="00771DF2"/>
    <w:rsid w:val="007728A4"/>
    <w:rsid w:val="00773A4D"/>
    <w:rsid w:val="007763E8"/>
    <w:rsid w:val="00784715"/>
    <w:rsid w:val="00784D2C"/>
    <w:rsid w:val="00790F26"/>
    <w:rsid w:val="00792E27"/>
    <w:rsid w:val="00793423"/>
    <w:rsid w:val="00794597"/>
    <w:rsid w:val="00796B0F"/>
    <w:rsid w:val="00797AAD"/>
    <w:rsid w:val="007A0900"/>
    <w:rsid w:val="007A0EE0"/>
    <w:rsid w:val="007A29ED"/>
    <w:rsid w:val="007A3613"/>
    <w:rsid w:val="007A3C6C"/>
    <w:rsid w:val="007A6A30"/>
    <w:rsid w:val="007A6E57"/>
    <w:rsid w:val="007A7D89"/>
    <w:rsid w:val="007B01C8"/>
    <w:rsid w:val="007B12E7"/>
    <w:rsid w:val="007B35F1"/>
    <w:rsid w:val="007C1420"/>
    <w:rsid w:val="007C52F1"/>
    <w:rsid w:val="007C5481"/>
    <w:rsid w:val="007C55CE"/>
    <w:rsid w:val="007C59B2"/>
    <w:rsid w:val="007D00A8"/>
    <w:rsid w:val="007D68F8"/>
    <w:rsid w:val="007D6DE1"/>
    <w:rsid w:val="007D712D"/>
    <w:rsid w:val="007E236C"/>
    <w:rsid w:val="007E2990"/>
    <w:rsid w:val="007E352A"/>
    <w:rsid w:val="007E366F"/>
    <w:rsid w:val="007E3C90"/>
    <w:rsid w:val="007E5CDB"/>
    <w:rsid w:val="007E788F"/>
    <w:rsid w:val="007F53DE"/>
    <w:rsid w:val="0080411D"/>
    <w:rsid w:val="00805C6A"/>
    <w:rsid w:val="008148C5"/>
    <w:rsid w:val="00825C96"/>
    <w:rsid w:val="00825E78"/>
    <w:rsid w:val="0082774B"/>
    <w:rsid w:val="00827B5F"/>
    <w:rsid w:val="00832B51"/>
    <w:rsid w:val="00835C63"/>
    <w:rsid w:val="008373A2"/>
    <w:rsid w:val="00845A63"/>
    <w:rsid w:val="00847BA1"/>
    <w:rsid w:val="00850802"/>
    <w:rsid w:val="00854777"/>
    <w:rsid w:val="008554DD"/>
    <w:rsid w:val="00855A64"/>
    <w:rsid w:val="008621C5"/>
    <w:rsid w:val="008623A8"/>
    <w:rsid w:val="00864E50"/>
    <w:rsid w:val="0086674D"/>
    <w:rsid w:val="0087138D"/>
    <w:rsid w:val="0087550E"/>
    <w:rsid w:val="00881D34"/>
    <w:rsid w:val="008903B4"/>
    <w:rsid w:val="00891494"/>
    <w:rsid w:val="00892441"/>
    <w:rsid w:val="00897465"/>
    <w:rsid w:val="008A12DB"/>
    <w:rsid w:val="008A2164"/>
    <w:rsid w:val="008A3BF8"/>
    <w:rsid w:val="008A4057"/>
    <w:rsid w:val="008A483F"/>
    <w:rsid w:val="008A7018"/>
    <w:rsid w:val="008A7A12"/>
    <w:rsid w:val="008B1CA0"/>
    <w:rsid w:val="008B37EC"/>
    <w:rsid w:val="008B3E75"/>
    <w:rsid w:val="008B4859"/>
    <w:rsid w:val="008B4EB1"/>
    <w:rsid w:val="008B74A5"/>
    <w:rsid w:val="008B7BB4"/>
    <w:rsid w:val="008C4B95"/>
    <w:rsid w:val="008C6F9A"/>
    <w:rsid w:val="008D12E2"/>
    <w:rsid w:val="008D1B5B"/>
    <w:rsid w:val="008D4BBC"/>
    <w:rsid w:val="008E1FD0"/>
    <w:rsid w:val="008E7DAE"/>
    <w:rsid w:val="008F09CD"/>
    <w:rsid w:val="008F1D24"/>
    <w:rsid w:val="008F1D8F"/>
    <w:rsid w:val="008F4915"/>
    <w:rsid w:val="008F4E12"/>
    <w:rsid w:val="008F5860"/>
    <w:rsid w:val="008F765D"/>
    <w:rsid w:val="008F7AD4"/>
    <w:rsid w:val="008F7E63"/>
    <w:rsid w:val="00901711"/>
    <w:rsid w:val="00901939"/>
    <w:rsid w:val="00906EEB"/>
    <w:rsid w:val="00907E35"/>
    <w:rsid w:val="00920933"/>
    <w:rsid w:val="00925E62"/>
    <w:rsid w:val="00925F6D"/>
    <w:rsid w:val="0093155E"/>
    <w:rsid w:val="00931E77"/>
    <w:rsid w:val="00934361"/>
    <w:rsid w:val="00936048"/>
    <w:rsid w:val="0094116D"/>
    <w:rsid w:val="0094537E"/>
    <w:rsid w:val="0095013A"/>
    <w:rsid w:val="0095280D"/>
    <w:rsid w:val="009550D3"/>
    <w:rsid w:val="0096328C"/>
    <w:rsid w:val="0096776C"/>
    <w:rsid w:val="0097392E"/>
    <w:rsid w:val="009755A6"/>
    <w:rsid w:val="00977223"/>
    <w:rsid w:val="009773E2"/>
    <w:rsid w:val="00977C5D"/>
    <w:rsid w:val="00990231"/>
    <w:rsid w:val="0099504A"/>
    <w:rsid w:val="009A362D"/>
    <w:rsid w:val="009A3A68"/>
    <w:rsid w:val="009A40C8"/>
    <w:rsid w:val="009A58E7"/>
    <w:rsid w:val="009B0BD1"/>
    <w:rsid w:val="009B2FC6"/>
    <w:rsid w:val="009B311E"/>
    <w:rsid w:val="009C04BB"/>
    <w:rsid w:val="009C2CE8"/>
    <w:rsid w:val="009C3803"/>
    <w:rsid w:val="009C6ACA"/>
    <w:rsid w:val="009D0890"/>
    <w:rsid w:val="009E50C0"/>
    <w:rsid w:val="009E570E"/>
    <w:rsid w:val="009F20F1"/>
    <w:rsid w:val="009F2AF2"/>
    <w:rsid w:val="009F3317"/>
    <w:rsid w:val="00A0001E"/>
    <w:rsid w:val="00A011A1"/>
    <w:rsid w:val="00A01402"/>
    <w:rsid w:val="00A01801"/>
    <w:rsid w:val="00A14455"/>
    <w:rsid w:val="00A14E70"/>
    <w:rsid w:val="00A15C2E"/>
    <w:rsid w:val="00A16192"/>
    <w:rsid w:val="00A16B92"/>
    <w:rsid w:val="00A2592E"/>
    <w:rsid w:val="00A26BF0"/>
    <w:rsid w:val="00A27F77"/>
    <w:rsid w:val="00A300AB"/>
    <w:rsid w:val="00A30364"/>
    <w:rsid w:val="00A33444"/>
    <w:rsid w:val="00A34755"/>
    <w:rsid w:val="00A355D5"/>
    <w:rsid w:val="00A440EF"/>
    <w:rsid w:val="00A45E38"/>
    <w:rsid w:val="00A46ECF"/>
    <w:rsid w:val="00A47539"/>
    <w:rsid w:val="00A5269C"/>
    <w:rsid w:val="00A52875"/>
    <w:rsid w:val="00A54714"/>
    <w:rsid w:val="00A54CFB"/>
    <w:rsid w:val="00A60DF9"/>
    <w:rsid w:val="00A61705"/>
    <w:rsid w:val="00A66433"/>
    <w:rsid w:val="00A67E84"/>
    <w:rsid w:val="00A67F88"/>
    <w:rsid w:val="00A71634"/>
    <w:rsid w:val="00A71B8E"/>
    <w:rsid w:val="00A75315"/>
    <w:rsid w:val="00A76BD0"/>
    <w:rsid w:val="00A77373"/>
    <w:rsid w:val="00A774DF"/>
    <w:rsid w:val="00A77D59"/>
    <w:rsid w:val="00A808CA"/>
    <w:rsid w:val="00A80CBF"/>
    <w:rsid w:val="00A90A3A"/>
    <w:rsid w:val="00A9707D"/>
    <w:rsid w:val="00A97575"/>
    <w:rsid w:val="00AA04E0"/>
    <w:rsid w:val="00AA054E"/>
    <w:rsid w:val="00AA247D"/>
    <w:rsid w:val="00AA5B55"/>
    <w:rsid w:val="00AB24C1"/>
    <w:rsid w:val="00AB5CFE"/>
    <w:rsid w:val="00AC3FA0"/>
    <w:rsid w:val="00AC581D"/>
    <w:rsid w:val="00AC718C"/>
    <w:rsid w:val="00AD0EC7"/>
    <w:rsid w:val="00AD249D"/>
    <w:rsid w:val="00AD6E51"/>
    <w:rsid w:val="00AE098D"/>
    <w:rsid w:val="00AE4851"/>
    <w:rsid w:val="00AE4D1A"/>
    <w:rsid w:val="00AE619E"/>
    <w:rsid w:val="00AE710D"/>
    <w:rsid w:val="00AF1A58"/>
    <w:rsid w:val="00AF1D3E"/>
    <w:rsid w:val="00AF3022"/>
    <w:rsid w:val="00AF3CA4"/>
    <w:rsid w:val="00AF5205"/>
    <w:rsid w:val="00AF6207"/>
    <w:rsid w:val="00AF62C1"/>
    <w:rsid w:val="00B009A1"/>
    <w:rsid w:val="00B01258"/>
    <w:rsid w:val="00B0129B"/>
    <w:rsid w:val="00B028B5"/>
    <w:rsid w:val="00B049FB"/>
    <w:rsid w:val="00B073A5"/>
    <w:rsid w:val="00B11155"/>
    <w:rsid w:val="00B11221"/>
    <w:rsid w:val="00B12C03"/>
    <w:rsid w:val="00B12F6F"/>
    <w:rsid w:val="00B13513"/>
    <w:rsid w:val="00B20AEE"/>
    <w:rsid w:val="00B22C77"/>
    <w:rsid w:val="00B248D7"/>
    <w:rsid w:val="00B24CE8"/>
    <w:rsid w:val="00B25140"/>
    <w:rsid w:val="00B27655"/>
    <w:rsid w:val="00B321F5"/>
    <w:rsid w:val="00B33F2E"/>
    <w:rsid w:val="00B3756C"/>
    <w:rsid w:val="00B3770F"/>
    <w:rsid w:val="00B4427A"/>
    <w:rsid w:val="00B443B8"/>
    <w:rsid w:val="00B45156"/>
    <w:rsid w:val="00B45298"/>
    <w:rsid w:val="00B45593"/>
    <w:rsid w:val="00B517AF"/>
    <w:rsid w:val="00B51E9E"/>
    <w:rsid w:val="00B532ED"/>
    <w:rsid w:val="00B6040A"/>
    <w:rsid w:val="00B60D67"/>
    <w:rsid w:val="00B627CE"/>
    <w:rsid w:val="00B64B39"/>
    <w:rsid w:val="00B651D7"/>
    <w:rsid w:val="00B654E0"/>
    <w:rsid w:val="00B66E94"/>
    <w:rsid w:val="00B70317"/>
    <w:rsid w:val="00B7355E"/>
    <w:rsid w:val="00B75403"/>
    <w:rsid w:val="00B86044"/>
    <w:rsid w:val="00B866C1"/>
    <w:rsid w:val="00B86FC2"/>
    <w:rsid w:val="00B877B5"/>
    <w:rsid w:val="00B90425"/>
    <w:rsid w:val="00B90463"/>
    <w:rsid w:val="00B91D54"/>
    <w:rsid w:val="00B94A16"/>
    <w:rsid w:val="00BA3ACA"/>
    <w:rsid w:val="00BA60BF"/>
    <w:rsid w:val="00BA6F30"/>
    <w:rsid w:val="00BB0E9C"/>
    <w:rsid w:val="00BB1598"/>
    <w:rsid w:val="00BB611F"/>
    <w:rsid w:val="00BB6277"/>
    <w:rsid w:val="00BB71B3"/>
    <w:rsid w:val="00BC28C5"/>
    <w:rsid w:val="00BC3BFF"/>
    <w:rsid w:val="00BC4B58"/>
    <w:rsid w:val="00BC4CF9"/>
    <w:rsid w:val="00BD1A14"/>
    <w:rsid w:val="00BD3961"/>
    <w:rsid w:val="00BD59A3"/>
    <w:rsid w:val="00BD5D45"/>
    <w:rsid w:val="00BE1682"/>
    <w:rsid w:val="00BE40D5"/>
    <w:rsid w:val="00BE4BD0"/>
    <w:rsid w:val="00BE7B6E"/>
    <w:rsid w:val="00BE7D87"/>
    <w:rsid w:val="00BF1578"/>
    <w:rsid w:val="00BF2F97"/>
    <w:rsid w:val="00BF76BE"/>
    <w:rsid w:val="00C00E72"/>
    <w:rsid w:val="00C027F3"/>
    <w:rsid w:val="00C03912"/>
    <w:rsid w:val="00C12185"/>
    <w:rsid w:val="00C17328"/>
    <w:rsid w:val="00C179A5"/>
    <w:rsid w:val="00C21545"/>
    <w:rsid w:val="00C24CC9"/>
    <w:rsid w:val="00C32301"/>
    <w:rsid w:val="00C405D4"/>
    <w:rsid w:val="00C43BB0"/>
    <w:rsid w:val="00C44A81"/>
    <w:rsid w:val="00C44F85"/>
    <w:rsid w:val="00C465B8"/>
    <w:rsid w:val="00C50B0A"/>
    <w:rsid w:val="00C50C51"/>
    <w:rsid w:val="00C5201A"/>
    <w:rsid w:val="00C53591"/>
    <w:rsid w:val="00C56B2B"/>
    <w:rsid w:val="00C60414"/>
    <w:rsid w:val="00C62247"/>
    <w:rsid w:val="00C62C3B"/>
    <w:rsid w:val="00C63036"/>
    <w:rsid w:val="00C6374A"/>
    <w:rsid w:val="00C63E45"/>
    <w:rsid w:val="00C64662"/>
    <w:rsid w:val="00C64CA6"/>
    <w:rsid w:val="00C74C4A"/>
    <w:rsid w:val="00C81E04"/>
    <w:rsid w:val="00C82832"/>
    <w:rsid w:val="00C82C75"/>
    <w:rsid w:val="00C83135"/>
    <w:rsid w:val="00C84A05"/>
    <w:rsid w:val="00C873A9"/>
    <w:rsid w:val="00C92273"/>
    <w:rsid w:val="00C96D7A"/>
    <w:rsid w:val="00CA0C88"/>
    <w:rsid w:val="00CA185A"/>
    <w:rsid w:val="00CA2436"/>
    <w:rsid w:val="00CA53E9"/>
    <w:rsid w:val="00CA5C24"/>
    <w:rsid w:val="00CB2C62"/>
    <w:rsid w:val="00CB498B"/>
    <w:rsid w:val="00CB6396"/>
    <w:rsid w:val="00CB6D61"/>
    <w:rsid w:val="00CB7030"/>
    <w:rsid w:val="00CC4710"/>
    <w:rsid w:val="00CC5584"/>
    <w:rsid w:val="00CC60F7"/>
    <w:rsid w:val="00CC707E"/>
    <w:rsid w:val="00CD06E2"/>
    <w:rsid w:val="00CD0D5F"/>
    <w:rsid w:val="00CD1342"/>
    <w:rsid w:val="00CD4256"/>
    <w:rsid w:val="00CD464B"/>
    <w:rsid w:val="00CD4F97"/>
    <w:rsid w:val="00CE0CBE"/>
    <w:rsid w:val="00CE1EB9"/>
    <w:rsid w:val="00CF09BE"/>
    <w:rsid w:val="00CF1E14"/>
    <w:rsid w:val="00CF2542"/>
    <w:rsid w:val="00CF2BBE"/>
    <w:rsid w:val="00CF2C4F"/>
    <w:rsid w:val="00D02039"/>
    <w:rsid w:val="00D02098"/>
    <w:rsid w:val="00D049C5"/>
    <w:rsid w:val="00D0705C"/>
    <w:rsid w:val="00D102CE"/>
    <w:rsid w:val="00D1226E"/>
    <w:rsid w:val="00D136BE"/>
    <w:rsid w:val="00D15FA3"/>
    <w:rsid w:val="00D2097E"/>
    <w:rsid w:val="00D23865"/>
    <w:rsid w:val="00D26947"/>
    <w:rsid w:val="00D27982"/>
    <w:rsid w:val="00D3006F"/>
    <w:rsid w:val="00D3096F"/>
    <w:rsid w:val="00D30C5C"/>
    <w:rsid w:val="00D30FE5"/>
    <w:rsid w:val="00D323A7"/>
    <w:rsid w:val="00D37AD0"/>
    <w:rsid w:val="00D37C58"/>
    <w:rsid w:val="00D4242C"/>
    <w:rsid w:val="00D43EBE"/>
    <w:rsid w:val="00D44A2C"/>
    <w:rsid w:val="00D457DD"/>
    <w:rsid w:val="00D52BB9"/>
    <w:rsid w:val="00D56996"/>
    <w:rsid w:val="00D56A19"/>
    <w:rsid w:val="00D61F09"/>
    <w:rsid w:val="00D66CF5"/>
    <w:rsid w:val="00D71EF8"/>
    <w:rsid w:val="00D732C2"/>
    <w:rsid w:val="00D73E0B"/>
    <w:rsid w:val="00D76255"/>
    <w:rsid w:val="00D76BAA"/>
    <w:rsid w:val="00D80B1B"/>
    <w:rsid w:val="00D80B3A"/>
    <w:rsid w:val="00D849FA"/>
    <w:rsid w:val="00D86E0A"/>
    <w:rsid w:val="00D8736C"/>
    <w:rsid w:val="00D910D7"/>
    <w:rsid w:val="00D917E1"/>
    <w:rsid w:val="00D960BF"/>
    <w:rsid w:val="00DA0AD0"/>
    <w:rsid w:val="00DA198E"/>
    <w:rsid w:val="00DA3349"/>
    <w:rsid w:val="00DA53A9"/>
    <w:rsid w:val="00DA57AD"/>
    <w:rsid w:val="00DA6E21"/>
    <w:rsid w:val="00DA6F44"/>
    <w:rsid w:val="00DB1F29"/>
    <w:rsid w:val="00DB4754"/>
    <w:rsid w:val="00DB7F4A"/>
    <w:rsid w:val="00DC0226"/>
    <w:rsid w:val="00DC44AF"/>
    <w:rsid w:val="00DC648B"/>
    <w:rsid w:val="00DC6F83"/>
    <w:rsid w:val="00DD0575"/>
    <w:rsid w:val="00DD19B2"/>
    <w:rsid w:val="00DD1C29"/>
    <w:rsid w:val="00DD3D68"/>
    <w:rsid w:val="00DE0F4C"/>
    <w:rsid w:val="00DE2403"/>
    <w:rsid w:val="00DE2C73"/>
    <w:rsid w:val="00DEFEDE"/>
    <w:rsid w:val="00DF1384"/>
    <w:rsid w:val="00DF5AA4"/>
    <w:rsid w:val="00DF5F52"/>
    <w:rsid w:val="00E00901"/>
    <w:rsid w:val="00E01C37"/>
    <w:rsid w:val="00E02087"/>
    <w:rsid w:val="00E0215E"/>
    <w:rsid w:val="00E03435"/>
    <w:rsid w:val="00E1080F"/>
    <w:rsid w:val="00E11D59"/>
    <w:rsid w:val="00E14C17"/>
    <w:rsid w:val="00E157BE"/>
    <w:rsid w:val="00E15DC3"/>
    <w:rsid w:val="00E1641D"/>
    <w:rsid w:val="00E26339"/>
    <w:rsid w:val="00E30CD4"/>
    <w:rsid w:val="00E346C5"/>
    <w:rsid w:val="00E36B2D"/>
    <w:rsid w:val="00E37E9F"/>
    <w:rsid w:val="00E40AED"/>
    <w:rsid w:val="00E41B1C"/>
    <w:rsid w:val="00E41CC0"/>
    <w:rsid w:val="00E43DD6"/>
    <w:rsid w:val="00E44121"/>
    <w:rsid w:val="00E51A01"/>
    <w:rsid w:val="00E53A64"/>
    <w:rsid w:val="00E53CA1"/>
    <w:rsid w:val="00E608D0"/>
    <w:rsid w:val="00E60CFB"/>
    <w:rsid w:val="00E61828"/>
    <w:rsid w:val="00E6586A"/>
    <w:rsid w:val="00E65956"/>
    <w:rsid w:val="00E72C5B"/>
    <w:rsid w:val="00E74548"/>
    <w:rsid w:val="00E765F8"/>
    <w:rsid w:val="00E8031D"/>
    <w:rsid w:val="00E82732"/>
    <w:rsid w:val="00E82E70"/>
    <w:rsid w:val="00E84932"/>
    <w:rsid w:val="00E864D8"/>
    <w:rsid w:val="00E8A739"/>
    <w:rsid w:val="00E90DAE"/>
    <w:rsid w:val="00E91331"/>
    <w:rsid w:val="00E91CC3"/>
    <w:rsid w:val="00E92D19"/>
    <w:rsid w:val="00E97179"/>
    <w:rsid w:val="00E971BB"/>
    <w:rsid w:val="00EA4B01"/>
    <w:rsid w:val="00EA5F2E"/>
    <w:rsid w:val="00EA6174"/>
    <w:rsid w:val="00EA7152"/>
    <w:rsid w:val="00EA74A5"/>
    <w:rsid w:val="00EB3330"/>
    <w:rsid w:val="00EB3A75"/>
    <w:rsid w:val="00EB4BC0"/>
    <w:rsid w:val="00EB5941"/>
    <w:rsid w:val="00EC0B20"/>
    <w:rsid w:val="00EC0F7C"/>
    <w:rsid w:val="00EC1F47"/>
    <w:rsid w:val="00EC298E"/>
    <w:rsid w:val="00EC35FE"/>
    <w:rsid w:val="00EC3ACA"/>
    <w:rsid w:val="00EC43BA"/>
    <w:rsid w:val="00EC795B"/>
    <w:rsid w:val="00ED1394"/>
    <w:rsid w:val="00ED366C"/>
    <w:rsid w:val="00ED775A"/>
    <w:rsid w:val="00EF645A"/>
    <w:rsid w:val="00F0707D"/>
    <w:rsid w:val="00F072C4"/>
    <w:rsid w:val="00F07545"/>
    <w:rsid w:val="00F1014E"/>
    <w:rsid w:val="00F121C0"/>
    <w:rsid w:val="00F141DB"/>
    <w:rsid w:val="00F15927"/>
    <w:rsid w:val="00F20E5A"/>
    <w:rsid w:val="00F32043"/>
    <w:rsid w:val="00F32133"/>
    <w:rsid w:val="00F338D7"/>
    <w:rsid w:val="00F35889"/>
    <w:rsid w:val="00F40950"/>
    <w:rsid w:val="00F518C8"/>
    <w:rsid w:val="00F51DB7"/>
    <w:rsid w:val="00F52687"/>
    <w:rsid w:val="00F55668"/>
    <w:rsid w:val="00F60134"/>
    <w:rsid w:val="00F6334B"/>
    <w:rsid w:val="00F66695"/>
    <w:rsid w:val="00F71F95"/>
    <w:rsid w:val="00F7401C"/>
    <w:rsid w:val="00F748AB"/>
    <w:rsid w:val="00F76F66"/>
    <w:rsid w:val="00F775A9"/>
    <w:rsid w:val="00F8101E"/>
    <w:rsid w:val="00F81315"/>
    <w:rsid w:val="00F81642"/>
    <w:rsid w:val="00F8210E"/>
    <w:rsid w:val="00F8462B"/>
    <w:rsid w:val="00F91272"/>
    <w:rsid w:val="00F943B9"/>
    <w:rsid w:val="00F96EC8"/>
    <w:rsid w:val="00FA164A"/>
    <w:rsid w:val="00FA1F28"/>
    <w:rsid w:val="00FA30D6"/>
    <w:rsid w:val="00FB06BA"/>
    <w:rsid w:val="00FB0DF3"/>
    <w:rsid w:val="00FB1853"/>
    <w:rsid w:val="00FB548F"/>
    <w:rsid w:val="00FB5803"/>
    <w:rsid w:val="00FB6F7E"/>
    <w:rsid w:val="00FB776F"/>
    <w:rsid w:val="00FB7DBE"/>
    <w:rsid w:val="00FC5953"/>
    <w:rsid w:val="00FC6163"/>
    <w:rsid w:val="00FC6BF4"/>
    <w:rsid w:val="00FC6E1E"/>
    <w:rsid w:val="00FD197D"/>
    <w:rsid w:val="00FD23AB"/>
    <w:rsid w:val="00FD7B16"/>
    <w:rsid w:val="00FE0066"/>
    <w:rsid w:val="00FE38EA"/>
    <w:rsid w:val="00FE3BA8"/>
    <w:rsid w:val="00FE5772"/>
    <w:rsid w:val="00FE5ACB"/>
    <w:rsid w:val="00FF1740"/>
    <w:rsid w:val="00FF338A"/>
    <w:rsid w:val="00FF6129"/>
    <w:rsid w:val="00FF66C6"/>
    <w:rsid w:val="010C20EC"/>
    <w:rsid w:val="0110E26F"/>
    <w:rsid w:val="01134E42"/>
    <w:rsid w:val="01284EFC"/>
    <w:rsid w:val="012C0D93"/>
    <w:rsid w:val="016D53ED"/>
    <w:rsid w:val="016F9C12"/>
    <w:rsid w:val="01812A2B"/>
    <w:rsid w:val="01A9DD04"/>
    <w:rsid w:val="01FF26CF"/>
    <w:rsid w:val="0201987E"/>
    <w:rsid w:val="02072985"/>
    <w:rsid w:val="020F879C"/>
    <w:rsid w:val="02252B0C"/>
    <w:rsid w:val="022FE92F"/>
    <w:rsid w:val="0233E86C"/>
    <w:rsid w:val="02789998"/>
    <w:rsid w:val="029A0E80"/>
    <w:rsid w:val="02A21E8D"/>
    <w:rsid w:val="02C1C5E2"/>
    <w:rsid w:val="02E025EC"/>
    <w:rsid w:val="02F53594"/>
    <w:rsid w:val="03264ECE"/>
    <w:rsid w:val="032F0FF1"/>
    <w:rsid w:val="034B1125"/>
    <w:rsid w:val="0364FEF6"/>
    <w:rsid w:val="0372A360"/>
    <w:rsid w:val="03D0C1B1"/>
    <w:rsid w:val="03E4EA6A"/>
    <w:rsid w:val="03E9A203"/>
    <w:rsid w:val="040EAB8E"/>
    <w:rsid w:val="0422ECD0"/>
    <w:rsid w:val="04511A4E"/>
    <w:rsid w:val="046BB292"/>
    <w:rsid w:val="04987F3A"/>
    <w:rsid w:val="04A0D39A"/>
    <w:rsid w:val="04A4F4AF"/>
    <w:rsid w:val="04A76460"/>
    <w:rsid w:val="04B31EC4"/>
    <w:rsid w:val="04CE92B2"/>
    <w:rsid w:val="04F3F057"/>
    <w:rsid w:val="052BF141"/>
    <w:rsid w:val="052D0BC5"/>
    <w:rsid w:val="053EB517"/>
    <w:rsid w:val="0540F0F2"/>
    <w:rsid w:val="056C9212"/>
    <w:rsid w:val="056DAEF4"/>
    <w:rsid w:val="05772699"/>
    <w:rsid w:val="058A3270"/>
    <w:rsid w:val="05A1ED10"/>
    <w:rsid w:val="05B03A5A"/>
    <w:rsid w:val="05B1DFFF"/>
    <w:rsid w:val="05F1A468"/>
    <w:rsid w:val="05F82D8C"/>
    <w:rsid w:val="0622DE3F"/>
    <w:rsid w:val="065FC1AA"/>
    <w:rsid w:val="06AA4422"/>
    <w:rsid w:val="06AED279"/>
    <w:rsid w:val="06C7D9E8"/>
    <w:rsid w:val="06D80AF2"/>
    <w:rsid w:val="06D9C7CE"/>
    <w:rsid w:val="06DA8578"/>
    <w:rsid w:val="06DCD14A"/>
    <w:rsid w:val="06F1334F"/>
    <w:rsid w:val="070CDD2E"/>
    <w:rsid w:val="0751B39D"/>
    <w:rsid w:val="07714EB4"/>
    <w:rsid w:val="07744C6C"/>
    <w:rsid w:val="078A3DA8"/>
    <w:rsid w:val="07AC74DE"/>
    <w:rsid w:val="07CF0389"/>
    <w:rsid w:val="07CF81F3"/>
    <w:rsid w:val="07FAABD4"/>
    <w:rsid w:val="08007F5E"/>
    <w:rsid w:val="08639203"/>
    <w:rsid w:val="08672648"/>
    <w:rsid w:val="08A06D70"/>
    <w:rsid w:val="08F031BB"/>
    <w:rsid w:val="091F9CCF"/>
    <w:rsid w:val="0926F3E9"/>
    <w:rsid w:val="094E817C"/>
    <w:rsid w:val="096107E9"/>
    <w:rsid w:val="0A0FB747"/>
    <w:rsid w:val="0A2393F3"/>
    <w:rsid w:val="0A488427"/>
    <w:rsid w:val="0A90FCC3"/>
    <w:rsid w:val="0A98953B"/>
    <w:rsid w:val="0A9E6524"/>
    <w:rsid w:val="0AAF96B5"/>
    <w:rsid w:val="0AB71401"/>
    <w:rsid w:val="0ABC7F7A"/>
    <w:rsid w:val="0ACB115F"/>
    <w:rsid w:val="0AD26403"/>
    <w:rsid w:val="0AEC38C5"/>
    <w:rsid w:val="0B051558"/>
    <w:rsid w:val="0B9B32C5"/>
    <w:rsid w:val="0BC6794C"/>
    <w:rsid w:val="0BD0E0C7"/>
    <w:rsid w:val="0BD39E0F"/>
    <w:rsid w:val="0BFD0540"/>
    <w:rsid w:val="0C074A34"/>
    <w:rsid w:val="0C14D658"/>
    <w:rsid w:val="0C19CB75"/>
    <w:rsid w:val="0C45ED9B"/>
    <w:rsid w:val="0C57A522"/>
    <w:rsid w:val="0C7A0704"/>
    <w:rsid w:val="0C7FE601"/>
    <w:rsid w:val="0C86223E"/>
    <w:rsid w:val="0CC07C3A"/>
    <w:rsid w:val="0CCC7DCD"/>
    <w:rsid w:val="0D0C3F68"/>
    <w:rsid w:val="0D475809"/>
    <w:rsid w:val="0D5601C2"/>
    <w:rsid w:val="0D78C0D9"/>
    <w:rsid w:val="0D8024E9"/>
    <w:rsid w:val="0D865E85"/>
    <w:rsid w:val="0D96DAA6"/>
    <w:rsid w:val="0DAEAC62"/>
    <w:rsid w:val="0DC875D7"/>
    <w:rsid w:val="0DCA93C9"/>
    <w:rsid w:val="0DD1E77C"/>
    <w:rsid w:val="0DF46420"/>
    <w:rsid w:val="0E21F29F"/>
    <w:rsid w:val="0E34D07A"/>
    <w:rsid w:val="0E50137E"/>
    <w:rsid w:val="0E55AB9D"/>
    <w:rsid w:val="0E7139EF"/>
    <w:rsid w:val="0E9B22E7"/>
    <w:rsid w:val="0EAE183F"/>
    <w:rsid w:val="0EC45F54"/>
    <w:rsid w:val="0F057F8C"/>
    <w:rsid w:val="0F1373EB"/>
    <w:rsid w:val="0F172DFC"/>
    <w:rsid w:val="0F1F4288"/>
    <w:rsid w:val="0F283FD9"/>
    <w:rsid w:val="0F28A774"/>
    <w:rsid w:val="0F39023C"/>
    <w:rsid w:val="0F439D25"/>
    <w:rsid w:val="0F49D245"/>
    <w:rsid w:val="0FAD6607"/>
    <w:rsid w:val="0FCCBDA9"/>
    <w:rsid w:val="0FD6709C"/>
    <w:rsid w:val="1016847C"/>
    <w:rsid w:val="101DBEDA"/>
    <w:rsid w:val="1036F348"/>
    <w:rsid w:val="1038B00E"/>
    <w:rsid w:val="10575FA5"/>
    <w:rsid w:val="109E63F1"/>
    <w:rsid w:val="10A3930D"/>
    <w:rsid w:val="10B3866B"/>
    <w:rsid w:val="10CF2AB1"/>
    <w:rsid w:val="10DF6D86"/>
    <w:rsid w:val="10E1992B"/>
    <w:rsid w:val="10FD5EAA"/>
    <w:rsid w:val="10FECB03"/>
    <w:rsid w:val="11260E5B"/>
    <w:rsid w:val="11C0A80A"/>
    <w:rsid w:val="11D0C801"/>
    <w:rsid w:val="11FDB42D"/>
    <w:rsid w:val="1226A35E"/>
    <w:rsid w:val="12440437"/>
    <w:rsid w:val="124B14AD"/>
    <w:rsid w:val="124C31FC"/>
    <w:rsid w:val="12896778"/>
    <w:rsid w:val="129563F9"/>
    <w:rsid w:val="12C67F15"/>
    <w:rsid w:val="12DF0573"/>
    <w:rsid w:val="130E115E"/>
    <w:rsid w:val="132384A1"/>
    <w:rsid w:val="139FE023"/>
    <w:rsid w:val="13B366CC"/>
    <w:rsid w:val="13DC43F8"/>
    <w:rsid w:val="13EBAA22"/>
    <w:rsid w:val="141A9176"/>
    <w:rsid w:val="144A3963"/>
    <w:rsid w:val="14688758"/>
    <w:rsid w:val="14D20523"/>
    <w:rsid w:val="1538E99D"/>
    <w:rsid w:val="15505654"/>
    <w:rsid w:val="1554CEDC"/>
    <w:rsid w:val="156539AE"/>
    <w:rsid w:val="157E7761"/>
    <w:rsid w:val="158F1B63"/>
    <w:rsid w:val="15B913C9"/>
    <w:rsid w:val="15C51D2B"/>
    <w:rsid w:val="15E9F82A"/>
    <w:rsid w:val="15EC4E94"/>
    <w:rsid w:val="15FF3221"/>
    <w:rsid w:val="160590E2"/>
    <w:rsid w:val="161F7645"/>
    <w:rsid w:val="164DD074"/>
    <w:rsid w:val="16D12550"/>
    <w:rsid w:val="16E0A7F3"/>
    <w:rsid w:val="1719EFA5"/>
    <w:rsid w:val="1754E178"/>
    <w:rsid w:val="17653801"/>
    <w:rsid w:val="176C4FDA"/>
    <w:rsid w:val="176CA02E"/>
    <w:rsid w:val="17881EF5"/>
    <w:rsid w:val="17D8B2D0"/>
    <w:rsid w:val="17E5DBB0"/>
    <w:rsid w:val="17E61B76"/>
    <w:rsid w:val="1865F605"/>
    <w:rsid w:val="187E3329"/>
    <w:rsid w:val="18E6A21D"/>
    <w:rsid w:val="18F81184"/>
    <w:rsid w:val="19588318"/>
    <w:rsid w:val="195F28BA"/>
    <w:rsid w:val="19968CAB"/>
    <w:rsid w:val="1998D2B8"/>
    <w:rsid w:val="199D725D"/>
    <w:rsid w:val="19C045EF"/>
    <w:rsid w:val="19EF471B"/>
    <w:rsid w:val="1A0711FB"/>
    <w:rsid w:val="1A304CBA"/>
    <w:rsid w:val="1A314CF6"/>
    <w:rsid w:val="1A39972A"/>
    <w:rsid w:val="1A649193"/>
    <w:rsid w:val="1A6A5E68"/>
    <w:rsid w:val="1A8965A4"/>
    <w:rsid w:val="1A8BF529"/>
    <w:rsid w:val="1AFAF91B"/>
    <w:rsid w:val="1B0075A7"/>
    <w:rsid w:val="1B0CC704"/>
    <w:rsid w:val="1B5847B7"/>
    <w:rsid w:val="1B67323F"/>
    <w:rsid w:val="1B6985FC"/>
    <w:rsid w:val="1B69CFEA"/>
    <w:rsid w:val="1B883C50"/>
    <w:rsid w:val="1BA1E0F8"/>
    <w:rsid w:val="1BCDA62B"/>
    <w:rsid w:val="1BE85E72"/>
    <w:rsid w:val="1BE86083"/>
    <w:rsid w:val="1C417DAA"/>
    <w:rsid w:val="1C6B2FD1"/>
    <w:rsid w:val="1C76AFA7"/>
    <w:rsid w:val="1C7A55C4"/>
    <w:rsid w:val="1C8B4323"/>
    <w:rsid w:val="1C9C4608"/>
    <w:rsid w:val="1CB3B295"/>
    <w:rsid w:val="1CB562D2"/>
    <w:rsid w:val="1CFB72E7"/>
    <w:rsid w:val="1D035AB1"/>
    <w:rsid w:val="1D1004BB"/>
    <w:rsid w:val="1D3990A9"/>
    <w:rsid w:val="1D46C269"/>
    <w:rsid w:val="1D49521F"/>
    <w:rsid w:val="1D63BE9C"/>
    <w:rsid w:val="1DAB1320"/>
    <w:rsid w:val="1DC422FC"/>
    <w:rsid w:val="1DD6648A"/>
    <w:rsid w:val="1DDBE1B2"/>
    <w:rsid w:val="1DF9092F"/>
    <w:rsid w:val="1E1EBABF"/>
    <w:rsid w:val="1E39C7B2"/>
    <w:rsid w:val="1E4F82F6"/>
    <w:rsid w:val="1E513333"/>
    <w:rsid w:val="1E61FFD7"/>
    <w:rsid w:val="1EBE3393"/>
    <w:rsid w:val="1EC15AC1"/>
    <w:rsid w:val="1ED3B012"/>
    <w:rsid w:val="1EEBB9D8"/>
    <w:rsid w:val="1F32A28A"/>
    <w:rsid w:val="1F4030C1"/>
    <w:rsid w:val="1F468879"/>
    <w:rsid w:val="1F50EE2D"/>
    <w:rsid w:val="1F51066C"/>
    <w:rsid w:val="1F5AABB8"/>
    <w:rsid w:val="1F5CFC46"/>
    <w:rsid w:val="1F872A07"/>
    <w:rsid w:val="1FB541E1"/>
    <w:rsid w:val="1FD3E6CA"/>
    <w:rsid w:val="2005728F"/>
    <w:rsid w:val="201162CB"/>
    <w:rsid w:val="201E295C"/>
    <w:rsid w:val="2022A1E4"/>
    <w:rsid w:val="20296055"/>
    <w:rsid w:val="203C16FD"/>
    <w:rsid w:val="205BA688"/>
    <w:rsid w:val="207ADBE0"/>
    <w:rsid w:val="2080AEFD"/>
    <w:rsid w:val="20EA680C"/>
    <w:rsid w:val="20F39C7C"/>
    <w:rsid w:val="213656ED"/>
    <w:rsid w:val="2197FE15"/>
    <w:rsid w:val="21A8840B"/>
    <w:rsid w:val="21B31E5D"/>
    <w:rsid w:val="21C49C1C"/>
    <w:rsid w:val="21FD63AF"/>
    <w:rsid w:val="2221379C"/>
    <w:rsid w:val="2228BEF6"/>
    <w:rsid w:val="2260F0E3"/>
    <w:rsid w:val="226426C6"/>
    <w:rsid w:val="226D681C"/>
    <w:rsid w:val="228784B5"/>
    <w:rsid w:val="229332B1"/>
    <w:rsid w:val="2295DBFC"/>
    <w:rsid w:val="22AF52D5"/>
    <w:rsid w:val="22B2D2B8"/>
    <w:rsid w:val="22B358AC"/>
    <w:rsid w:val="22F41078"/>
    <w:rsid w:val="232771D8"/>
    <w:rsid w:val="23380E16"/>
    <w:rsid w:val="23432DA5"/>
    <w:rsid w:val="234A83ED"/>
    <w:rsid w:val="24043D81"/>
    <w:rsid w:val="2409387D"/>
    <w:rsid w:val="240F7620"/>
    <w:rsid w:val="241A3C23"/>
    <w:rsid w:val="2420D62D"/>
    <w:rsid w:val="242E7FC3"/>
    <w:rsid w:val="247641B6"/>
    <w:rsid w:val="247ADFD5"/>
    <w:rsid w:val="247FCCA7"/>
    <w:rsid w:val="248895F2"/>
    <w:rsid w:val="24D63468"/>
    <w:rsid w:val="24DBFA9B"/>
    <w:rsid w:val="24DF7E3D"/>
    <w:rsid w:val="24F1E91A"/>
    <w:rsid w:val="24F6DA8A"/>
    <w:rsid w:val="251BDC14"/>
    <w:rsid w:val="2535B059"/>
    <w:rsid w:val="25438DD4"/>
    <w:rsid w:val="254C2D70"/>
    <w:rsid w:val="259344A4"/>
    <w:rsid w:val="25CC3DCA"/>
    <w:rsid w:val="25EF010D"/>
    <w:rsid w:val="260308CA"/>
    <w:rsid w:val="26103CDC"/>
    <w:rsid w:val="26121217"/>
    <w:rsid w:val="262C61AB"/>
    <w:rsid w:val="262C6EE4"/>
    <w:rsid w:val="26467CEB"/>
    <w:rsid w:val="26660778"/>
    <w:rsid w:val="26B16C1B"/>
    <w:rsid w:val="26D132FE"/>
    <w:rsid w:val="27005677"/>
    <w:rsid w:val="2751DCE5"/>
    <w:rsid w:val="2767372F"/>
    <w:rsid w:val="2768840E"/>
    <w:rsid w:val="2782C3F8"/>
    <w:rsid w:val="27AB6F68"/>
    <w:rsid w:val="27B75F89"/>
    <w:rsid w:val="27E167A2"/>
    <w:rsid w:val="27F53721"/>
    <w:rsid w:val="2801D7D9"/>
    <w:rsid w:val="2803ED00"/>
    <w:rsid w:val="280F8D99"/>
    <w:rsid w:val="284D9010"/>
    <w:rsid w:val="28537CD6"/>
    <w:rsid w:val="28583C01"/>
    <w:rsid w:val="285D5E8E"/>
    <w:rsid w:val="285E1AD5"/>
    <w:rsid w:val="285ECAE7"/>
    <w:rsid w:val="288C04C6"/>
    <w:rsid w:val="2893A6ED"/>
    <w:rsid w:val="2893AE68"/>
    <w:rsid w:val="28C05C73"/>
    <w:rsid w:val="28D984D0"/>
    <w:rsid w:val="28EDC0B7"/>
    <w:rsid w:val="290BB5F6"/>
    <w:rsid w:val="29473FC9"/>
    <w:rsid w:val="294A9DA2"/>
    <w:rsid w:val="295DB411"/>
    <w:rsid w:val="297AC910"/>
    <w:rsid w:val="297D3803"/>
    <w:rsid w:val="299FBD61"/>
    <w:rsid w:val="29AB1491"/>
    <w:rsid w:val="29D8628E"/>
    <w:rsid w:val="29E96071"/>
    <w:rsid w:val="2A1B76D2"/>
    <w:rsid w:val="2A2376CF"/>
    <w:rsid w:val="2A4C8FED"/>
    <w:rsid w:val="2A661C46"/>
    <w:rsid w:val="2A6C02C8"/>
    <w:rsid w:val="2A9755AE"/>
    <w:rsid w:val="2AAD9714"/>
    <w:rsid w:val="2AC65E13"/>
    <w:rsid w:val="2AC7C8EC"/>
    <w:rsid w:val="2AE376EC"/>
    <w:rsid w:val="2AFBA43B"/>
    <w:rsid w:val="2B52B469"/>
    <w:rsid w:val="2B94FF50"/>
    <w:rsid w:val="2B966BA9"/>
    <w:rsid w:val="2BA1FB2F"/>
    <w:rsid w:val="2BC63C71"/>
    <w:rsid w:val="2BD5EC2E"/>
    <w:rsid w:val="2BF2E550"/>
    <w:rsid w:val="2BF59699"/>
    <w:rsid w:val="2C7F9C30"/>
    <w:rsid w:val="2C8CD371"/>
    <w:rsid w:val="2C9AB49C"/>
    <w:rsid w:val="2CA0A436"/>
    <w:rsid w:val="2D2E4B8E"/>
    <w:rsid w:val="2D4CE4E4"/>
    <w:rsid w:val="2D78132A"/>
    <w:rsid w:val="2D7F7629"/>
    <w:rsid w:val="2DB134FB"/>
    <w:rsid w:val="2DDCACAE"/>
    <w:rsid w:val="2DE60BFA"/>
    <w:rsid w:val="2E5EFB44"/>
    <w:rsid w:val="2E661A64"/>
    <w:rsid w:val="2E91C8E4"/>
    <w:rsid w:val="2EBCD194"/>
    <w:rsid w:val="2ECE0C6B"/>
    <w:rsid w:val="2EE8B545"/>
    <w:rsid w:val="2EE9C78F"/>
    <w:rsid w:val="2F1F8919"/>
    <w:rsid w:val="2F264B8E"/>
    <w:rsid w:val="2F36F7D7"/>
    <w:rsid w:val="2F3BC269"/>
    <w:rsid w:val="2F460737"/>
    <w:rsid w:val="2FB30CF3"/>
    <w:rsid w:val="2FC2716E"/>
    <w:rsid w:val="2FF16B3A"/>
    <w:rsid w:val="30017721"/>
    <w:rsid w:val="30131900"/>
    <w:rsid w:val="301FF0EE"/>
    <w:rsid w:val="309CD4C2"/>
    <w:rsid w:val="30AC0437"/>
    <w:rsid w:val="30AFFC47"/>
    <w:rsid w:val="30BE5AA8"/>
    <w:rsid w:val="30C64048"/>
    <w:rsid w:val="30CB6E58"/>
    <w:rsid w:val="30EFDF5A"/>
    <w:rsid w:val="31481962"/>
    <w:rsid w:val="31765167"/>
    <w:rsid w:val="3191A6E9"/>
    <w:rsid w:val="31A8BA1F"/>
    <w:rsid w:val="31B346DD"/>
    <w:rsid w:val="31B90C48"/>
    <w:rsid w:val="31CC646C"/>
    <w:rsid w:val="31E79D61"/>
    <w:rsid w:val="31EAC9FB"/>
    <w:rsid w:val="31F2BA1D"/>
    <w:rsid w:val="320440D4"/>
    <w:rsid w:val="3205AD2D"/>
    <w:rsid w:val="320C2856"/>
    <w:rsid w:val="320E3CC3"/>
    <w:rsid w:val="32397E64"/>
    <w:rsid w:val="32855886"/>
    <w:rsid w:val="32D4D9FB"/>
    <w:rsid w:val="33478975"/>
    <w:rsid w:val="338464B5"/>
    <w:rsid w:val="339042B7"/>
    <w:rsid w:val="339FC2B9"/>
    <w:rsid w:val="33A84150"/>
    <w:rsid w:val="33C72B91"/>
    <w:rsid w:val="33CAB635"/>
    <w:rsid w:val="33D0F596"/>
    <w:rsid w:val="33DDA103"/>
    <w:rsid w:val="33EA1B7F"/>
    <w:rsid w:val="33F90E17"/>
    <w:rsid w:val="33FA7A6E"/>
    <w:rsid w:val="34537E18"/>
    <w:rsid w:val="345A85B8"/>
    <w:rsid w:val="346E82F9"/>
    <w:rsid w:val="34772AB3"/>
    <w:rsid w:val="347B2AA9"/>
    <w:rsid w:val="347D63BA"/>
    <w:rsid w:val="3493D428"/>
    <w:rsid w:val="34B36739"/>
    <w:rsid w:val="34B5145A"/>
    <w:rsid w:val="34C96A6D"/>
    <w:rsid w:val="34DCD5CA"/>
    <w:rsid w:val="34E7F10A"/>
    <w:rsid w:val="34F3D5F7"/>
    <w:rsid w:val="35029E74"/>
    <w:rsid w:val="35203516"/>
    <w:rsid w:val="35357598"/>
    <w:rsid w:val="3536646E"/>
    <w:rsid w:val="354029B2"/>
    <w:rsid w:val="354B8667"/>
    <w:rsid w:val="356B367D"/>
    <w:rsid w:val="35797164"/>
    <w:rsid w:val="358BD020"/>
    <w:rsid w:val="35B9FB99"/>
    <w:rsid w:val="35C58977"/>
    <w:rsid w:val="35F95341"/>
    <w:rsid w:val="35FF87BF"/>
    <w:rsid w:val="3628CD42"/>
    <w:rsid w:val="363AE258"/>
    <w:rsid w:val="36612E0B"/>
    <w:rsid w:val="3695FD8D"/>
    <w:rsid w:val="36B7DD76"/>
    <w:rsid w:val="36BB0E84"/>
    <w:rsid w:val="36BE3B1E"/>
    <w:rsid w:val="36D91E50"/>
    <w:rsid w:val="36EA7DF6"/>
    <w:rsid w:val="37131BFA"/>
    <w:rsid w:val="3714B8F1"/>
    <w:rsid w:val="37206A30"/>
    <w:rsid w:val="3743FE28"/>
    <w:rsid w:val="3772BA06"/>
    <w:rsid w:val="378F8757"/>
    <w:rsid w:val="378FDD06"/>
    <w:rsid w:val="37AF16AE"/>
    <w:rsid w:val="37B5047C"/>
    <w:rsid w:val="37C19332"/>
    <w:rsid w:val="37D65363"/>
    <w:rsid w:val="37F5647A"/>
    <w:rsid w:val="382082BE"/>
    <w:rsid w:val="384AF64B"/>
    <w:rsid w:val="384D3BE5"/>
    <w:rsid w:val="385A0B7F"/>
    <w:rsid w:val="38872D8D"/>
    <w:rsid w:val="389EA0D8"/>
    <w:rsid w:val="389EAC6B"/>
    <w:rsid w:val="38CB285F"/>
    <w:rsid w:val="38E0D1E5"/>
    <w:rsid w:val="390952F7"/>
    <w:rsid w:val="3911FE91"/>
    <w:rsid w:val="393CFEBD"/>
    <w:rsid w:val="39443B36"/>
    <w:rsid w:val="394D832E"/>
    <w:rsid w:val="394DB829"/>
    <w:rsid w:val="39683FA0"/>
    <w:rsid w:val="397A3370"/>
    <w:rsid w:val="399134DB"/>
    <w:rsid w:val="3998CECD"/>
    <w:rsid w:val="39C9264E"/>
    <w:rsid w:val="39CD9E4F"/>
    <w:rsid w:val="39DC58FF"/>
    <w:rsid w:val="39E6C6AC"/>
    <w:rsid w:val="3A17403F"/>
    <w:rsid w:val="3A18AC98"/>
    <w:rsid w:val="3A2C7A36"/>
    <w:rsid w:val="3A34746F"/>
    <w:rsid w:val="3A449049"/>
    <w:rsid w:val="3A4CE287"/>
    <w:rsid w:val="3A560889"/>
    <w:rsid w:val="3A6B8770"/>
    <w:rsid w:val="3A741921"/>
    <w:rsid w:val="3A749B33"/>
    <w:rsid w:val="3AA52358"/>
    <w:rsid w:val="3AD8760A"/>
    <w:rsid w:val="3AF3472E"/>
    <w:rsid w:val="3B028D90"/>
    <w:rsid w:val="3B1D33AD"/>
    <w:rsid w:val="3B4C174E"/>
    <w:rsid w:val="3B64F6AF"/>
    <w:rsid w:val="3B696EB0"/>
    <w:rsid w:val="3B8D3EEF"/>
    <w:rsid w:val="3B9B549C"/>
    <w:rsid w:val="3BA19F8E"/>
    <w:rsid w:val="3BBAC7EB"/>
    <w:rsid w:val="3BC7384D"/>
    <w:rsid w:val="3BD48A2F"/>
    <w:rsid w:val="3BDC498F"/>
    <w:rsid w:val="3C2DF50C"/>
    <w:rsid w:val="3C341CBF"/>
    <w:rsid w:val="3C4ABF03"/>
    <w:rsid w:val="3C93144D"/>
    <w:rsid w:val="3CE1F267"/>
    <w:rsid w:val="3D094802"/>
    <w:rsid w:val="3D0CCC50"/>
    <w:rsid w:val="3D20AD08"/>
    <w:rsid w:val="3D2BD6EC"/>
    <w:rsid w:val="3D641AF8"/>
    <w:rsid w:val="3D7D4355"/>
    <w:rsid w:val="3DB65482"/>
    <w:rsid w:val="3DDACE4B"/>
    <w:rsid w:val="3E106FE0"/>
    <w:rsid w:val="3E56CBA1"/>
    <w:rsid w:val="3E5F0F9A"/>
    <w:rsid w:val="3E77A8F9"/>
    <w:rsid w:val="3E99E4D6"/>
    <w:rsid w:val="3EA51863"/>
    <w:rsid w:val="3F46E619"/>
    <w:rsid w:val="3F5F93B5"/>
    <w:rsid w:val="3F68E201"/>
    <w:rsid w:val="3F799F52"/>
    <w:rsid w:val="3FAD8FF4"/>
    <w:rsid w:val="3FB23B07"/>
    <w:rsid w:val="3FE55DA6"/>
    <w:rsid w:val="3FF29C02"/>
    <w:rsid w:val="4030324B"/>
    <w:rsid w:val="4044CD59"/>
    <w:rsid w:val="40651D64"/>
    <w:rsid w:val="407210A7"/>
    <w:rsid w:val="40FE492D"/>
    <w:rsid w:val="4106C111"/>
    <w:rsid w:val="414C10BD"/>
    <w:rsid w:val="4186D746"/>
    <w:rsid w:val="419A1BB1"/>
    <w:rsid w:val="41AA2F0E"/>
    <w:rsid w:val="41B2DA4F"/>
    <w:rsid w:val="41DCB925"/>
    <w:rsid w:val="41E03D73"/>
    <w:rsid w:val="41F41E2B"/>
    <w:rsid w:val="41F876CB"/>
    <w:rsid w:val="41FEB81E"/>
    <w:rsid w:val="4214E776"/>
    <w:rsid w:val="4250B478"/>
    <w:rsid w:val="4254EE62"/>
    <w:rsid w:val="42722983"/>
    <w:rsid w:val="427A30BD"/>
    <w:rsid w:val="429F1235"/>
    <w:rsid w:val="42B190D3"/>
    <w:rsid w:val="42B2B44D"/>
    <w:rsid w:val="42CCDF42"/>
    <w:rsid w:val="42F65BA5"/>
    <w:rsid w:val="42F7B723"/>
    <w:rsid w:val="4321D2C6"/>
    <w:rsid w:val="43472F6B"/>
    <w:rsid w:val="43788986"/>
    <w:rsid w:val="4392A7E9"/>
    <w:rsid w:val="43A709A5"/>
    <w:rsid w:val="4413B54C"/>
    <w:rsid w:val="4416011E"/>
    <w:rsid w:val="44165FF2"/>
    <w:rsid w:val="4459F05B"/>
    <w:rsid w:val="4486EDDD"/>
    <w:rsid w:val="448F4225"/>
    <w:rsid w:val="44C4D39D"/>
    <w:rsid w:val="44CD46E4"/>
    <w:rsid w:val="44EDAF86"/>
    <w:rsid w:val="4519D693"/>
    <w:rsid w:val="45640716"/>
    <w:rsid w:val="45851166"/>
    <w:rsid w:val="45C5A6A4"/>
    <w:rsid w:val="460413E9"/>
    <w:rsid w:val="4635F9D5"/>
    <w:rsid w:val="465DCCE5"/>
    <w:rsid w:val="465DDD17"/>
    <w:rsid w:val="465F6019"/>
    <w:rsid w:val="468362B6"/>
    <w:rsid w:val="468EC9F5"/>
    <w:rsid w:val="46A312BE"/>
    <w:rsid w:val="46CC26F2"/>
    <w:rsid w:val="46DE0743"/>
    <w:rsid w:val="46E1206F"/>
    <w:rsid w:val="46F22EF0"/>
    <w:rsid w:val="46F89AFE"/>
    <w:rsid w:val="4709E48D"/>
    <w:rsid w:val="470AFD3E"/>
    <w:rsid w:val="4724259B"/>
    <w:rsid w:val="476A7E03"/>
    <w:rsid w:val="479E2AE6"/>
    <w:rsid w:val="47A00E02"/>
    <w:rsid w:val="47D81528"/>
    <w:rsid w:val="47F302AF"/>
    <w:rsid w:val="485F0D2F"/>
    <w:rsid w:val="4873DBD0"/>
    <w:rsid w:val="487F0C2F"/>
    <w:rsid w:val="489193A8"/>
    <w:rsid w:val="48B810D9"/>
    <w:rsid w:val="49440AAD"/>
    <w:rsid w:val="4954723A"/>
    <w:rsid w:val="496A59D4"/>
    <w:rsid w:val="49703F6C"/>
    <w:rsid w:val="49A019BD"/>
    <w:rsid w:val="49A326A3"/>
    <w:rsid w:val="49BCA215"/>
    <w:rsid w:val="49C0756F"/>
    <w:rsid w:val="49F672C1"/>
    <w:rsid w:val="4A41933D"/>
    <w:rsid w:val="4A52F4C8"/>
    <w:rsid w:val="4A5F8DCC"/>
    <w:rsid w:val="4AC47935"/>
    <w:rsid w:val="4AC931DF"/>
    <w:rsid w:val="4AD06A29"/>
    <w:rsid w:val="4B1EEC35"/>
    <w:rsid w:val="4B6A730E"/>
    <w:rsid w:val="4BA0CED2"/>
    <w:rsid w:val="4BCA381F"/>
    <w:rsid w:val="4C07EAA6"/>
    <w:rsid w:val="4C2D63C4"/>
    <w:rsid w:val="4C3D1086"/>
    <w:rsid w:val="4C51EFAB"/>
    <w:rsid w:val="4C7F3E07"/>
    <w:rsid w:val="4C8EB7D1"/>
    <w:rsid w:val="4CF0F7C9"/>
    <w:rsid w:val="4D4BBD16"/>
    <w:rsid w:val="4D792C78"/>
    <w:rsid w:val="4DA002C9"/>
    <w:rsid w:val="4DA9C26E"/>
    <w:rsid w:val="4DB09B85"/>
    <w:rsid w:val="4DF2A252"/>
    <w:rsid w:val="4E2E2E4F"/>
    <w:rsid w:val="4E3FE1F6"/>
    <w:rsid w:val="4E532143"/>
    <w:rsid w:val="4E7173FB"/>
    <w:rsid w:val="4E74B8D5"/>
    <w:rsid w:val="4E8E89BD"/>
    <w:rsid w:val="4E9AAFC0"/>
    <w:rsid w:val="4EABDDA4"/>
    <w:rsid w:val="4EB5A91D"/>
    <w:rsid w:val="4EB9E384"/>
    <w:rsid w:val="4ECF4CFC"/>
    <w:rsid w:val="4ED62E14"/>
    <w:rsid w:val="4EE528AC"/>
    <w:rsid w:val="4EE9C064"/>
    <w:rsid w:val="4F150460"/>
    <w:rsid w:val="4F2BF3AC"/>
    <w:rsid w:val="4F43E186"/>
    <w:rsid w:val="4F53BF71"/>
    <w:rsid w:val="4F70E68F"/>
    <w:rsid w:val="4F8D55D1"/>
    <w:rsid w:val="4FBD6568"/>
    <w:rsid w:val="4FC9FEB0"/>
    <w:rsid w:val="4FD7CA58"/>
    <w:rsid w:val="4FEF976F"/>
    <w:rsid w:val="4FFE7704"/>
    <w:rsid w:val="5004669D"/>
    <w:rsid w:val="500E55AB"/>
    <w:rsid w:val="502B359C"/>
    <w:rsid w:val="502FB6F3"/>
    <w:rsid w:val="50398B61"/>
    <w:rsid w:val="50590238"/>
    <w:rsid w:val="50A375A6"/>
    <w:rsid w:val="50A8D628"/>
    <w:rsid w:val="50C6F6B3"/>
    <w:rsid w:val="50EFA492"/>
    <w:rsid w:val="50FAA38B"/>
    <w:rsid w:val="510B128C"/>
    <w:rsid w:val="5120F0AB"/>
    <w:rsid w:val="518D0CCA"/>
    <w:rsid w:val="51935245"/>
    <w:rsid w:val="51935556"/>
    <w:rsid w:val="51AB595B"/>
    <w:rsid w:val="51B1E20F"/>
    <w:rsid w:val="51C62A7F"/>
    <w:rsid w:val="51DB9ECE"/>
    <w:rsid w:val="51E03CF0"/>
    <w:rsid w:val="520F7F13"/>
    <w:rsid w:val="523875EE"/>
    <w:rsid w:val="5262F638"/>
    <w:rsid w:val="52A6E2ED"/>
    <w:rsid w:val="531AC7CF"/>
    <w:rsid w:val="5361FAE0"/>
    <w:rsid w:val="537423F5"/>
    <w:rsid w:val="53BEC7D8"/>
    <w:rsid w:val="53E87583"/>
    <w:rsid w:val="53F7B734"/>
    <w:rsid w:val="5407AF43"/>
    <w:rsid w:val="5415180D"/>
    <w:rsid w:val="54306F73"/>
    <w:rsid w:val="543B5D40"/>
    <w:rsid w:val="54867C04"/>
    <w:rsid w:val="54B4EA68"/>
    <w:rsid w:val="54DAECE0"/>
    <w:rsid w:val="54E90F79"/>
    <w:rsid w:val="550F4337"/>
    <w:rsid w:val="55546A30"/>
    <w:rsid w:val="558E39F8"/>
    <w:rsid w:val="55AF9B0F"/>
    <w:rsid w:val="55B591FD"/>
    <w:rsid w:val="55FC7E0C"/>
    <w:rsid w:val="5603F180"/>
    <w:rsid w:val="561BF19A"/>
    <w:rsid w:val="5638A64D"/>
    <w:rsid w:val="564A62CA"/>
    <w:rsid w:val="56897990"/>
    <w:rsid w:val="56BAF00E"/>
    <w:rsid w:val="56CC7841"/>
    <w:rsid w:val="56D506DC"/>
    <w:rsid w:val="56F76821"/>
    <w:rsid w:val="571DDD34"/>
    <w:rsid w:val="57212108"/>
    <w:rsid w:val="5784A706"/>
    <w:rsid w:val="57A0E79D"/>
    <w:rsid w:val="57B4AD9F"/>
    <w:rsid w:val="57D56376"/>
    <w:rsid w:val="57EC9AC3"/>
    <w:rsid w:val="57FBBB9E"/>
    <w:rsid w:val="57FBFF82"/>
    <w:rsid w:val="58212393"/>
    <w:rsid w:val="5866C0F5"/>
    <w:rsid w:val="5876E3D0"/>
    <w:rsid w:val="58A4759A"/>
    <w:rsid w:val="58B27CAF"/>
    <w:rsid w:val="590A2EF2"/>
    <w:rsid w:val="5914AD3A"/>
    <w:rsid w:val="59174A56"/>
    <w:rsid w:val="59376A61"/>
    <w:rsid w:val="593EA345"/>
    <w:rsid w:val="596A9604"/>
    <w:rsid w:val="596C7719"/>
    <w:rsid w:val="596FF479"/>
    <w:rsid w:val="5972FC41"/>
    <w:rsid w:val="59A3CB97"/>
    <w:rsid w:val="59A6AB34"/>
    <w:rsid w:val="59C50D4B"/>
    <w:rsid w:val="5A58C1CA"/>
    <w:rsid w:val="5A6BB27D"/>
    <w:rsid w:val="5AA22B7D"/>
    <w:rsid w:val="5AB4268C"/>
    <w:rsid w:val="5AF3DBDB"/>
    <w:rsid w:val="5B1E2269"/>
    <w:rsid w:val="5B2AB8A6"/>
    <w:rsid w:val="5B3E1ADF"/>
    <w:rsid w:val="5B4811F9"/>
    <w:rsid w:val="5B4DA10C"/>
    <w:rsid w:val="5B533BDD"/>
    <w:rsid w:val="5B5FE4C4"/>
    <w:rsid w:val="5B88D2BA"/>
    <w:rsid w:val="5BA98C64"/>
    <w:rsid w:val="5BB072D1"/>
    <w:rsid w:val="5BB99BF1"/>
    <w:rsid w:val="5BC3CB6B"/>
    <w:rsid w:val="5C13F3C5"/>
    <w:rsid w:val="5C1637C0"/>
    <w:rsid w:val="5C3ADC37"/>
    <w:rsid w:val="5C436EDE"/>
    <w:rsid w:val="5C52F978"/>
    <w:rsid w:val="5C764407"/>
    <w:rsid w:val="5C8FAC3C"/>
    <w:rsid w:val="5C9658C4"/>
    <w:rsid w:val="5CCF70A5"/>
    <w:rsid w:val="5D3DCFB4"/>
    <w:rsid w:val="5D51D7AB"/>
    <w:rsid w:val="5D5F7C15"/>
    <w:rsid w:val="5D8A8BF1"/>
    <w:rsid w:val="5D92B8F6"/>
    <w:rsid w:val="5D980418"/>
    <w:rsid w:val="5DA67E00"/>
    <w:rsid w:val="5DAEE5D2"/>
    <w:rsid w:val="5DB52E65"/>
    <w:rsid w:val="5DDF3F3F"/>
    <w:rsid w:val="5DF701CF"/>
    <w:rsid w:val="5E4C3F9F"/>
    <w:rsid w:val="5E57D6C0"/>
    <w:rsid w:val="5E696E60"/>
    <w:rsid w:val="5ECAAA1F"/>
    <w:rsid w:val="5EE243D0"/>
    <w:rsid w:val="5EFB6C2D"/>
    <w:rsid w:val="5F24F525"/>
    <w:rsid w:val="5F2737AE"/>
    <w:rsid w:val="5F2D8D38"/>
    <w:rsid w:val="5F5C7443"/>
    <w:rsid w:val="5F797076"/>
    <w:rsid w:val="5F8A50D1"/>
    <w:rsid w:val="5FC48BF6"/>
    <w:rsid w:val="5FCE8977"/>
    <w:rsid w:val="5FF14510"/>
    <w:rsid w:val="5FFBA7BC"/>
    <w:rsid w:val="6005BB39"/>
    <w:rsid w:val="602091C6"/>
    <w:rsid w:val="6036BDDB"/>
    <w:rsid w:val="604D3B63"/>
    <w:rsid w:val="604F6361"/>
    <w:rsid w:val="604F798C"/>
    <w:rsid w:val="60503736"/>
    <w:rsid w:val="60AA25C2"/>
    <w:rsid w:val="60D6A7F4"/>
    <w:rsid w:val="60D730C8"/>
    <w:rsid w:val="60E244D5"/>
    <w:rsid w:val="6106D00E"/>
    <w:rsid w:val="6109AFAB"/>
    <w:rsid w:val="611540D7"/>
    <w:rsid w:val="6131F0A9"/>
    <w:rsid w:val="613586EC"/>
    <w:rsid w:val="615F238F"/>
    <w:rsid w:val="616B6571"/>
    <w:rsid w:val="6186A167"/>
    <w:rsid w:val="6187E963"/>
    <w:rsid w:val="61AEDD7C"/>
    <w:rsid w:val="61BD3D32"/>
    <w:rsid w:val="61DC8532"/>
    <w:rsid w:val="61E43BCF"/>
    <w:rsid w:val="61F9B01E"/>
    <w:rsid w:val="62021EA9"/>
    <w:rsid w:val="6219E492"/>
    <w:rsid w:val="62247919"/>
    <w:rsid w:val="6252E754"/>
    <w:rsid w:val="627008AF"/>
    <w:rsid w:val="6272DCFC"/>
    <w:rsid w:val="628CE48F"/>
    <w:rsid w:val="629D3C13"/>
    <w:rsid w:val="62B2199D"/>
    <w:rsid w:val="62B7E94C"/>
    <w:rsid w:val="62CC5D2E"/>
    <w:rsid w:val="630E7E81"/>
    <w:rsid w:val="6317B593"/>
    <w:rsid w:val="6350F8CF"/>
    <w:rsid w:val="63855D72"/>
    <w:rsid w:val="63C9612B"/>
    <w:rsid w:val="63D0F28D"/>
    <w:rsid w:val="63EEB7B5"/>
    <w:rsid w:val="6435B64F"/>
    <w:rsid w:val="6441506D"/>
    <w:rsid w:val="64526AC4"/>
    <w:rsid w:val="6452B940"/>
    <w:rsid w:val="64596E90"/>
    <w:rsid w:val="6466FE5C"/>
    <w:rsid w:val="6495D6CD"/>
    <w:rsid w:val="649ABE21"/>
    <w:rsid w:val="64B53631"/>
    <w:rsid w:val="64EC4503"/>
    <w:rsid w:val="64FAA699"/>
    <w:rsid w:val="65212DD3"/>
    <w:rsid w:val="652FDB8A"/>
    <w:rsid w:val="654C0FB3"/>
    <w:rsid w:val="655B575E"/>
    <w:rsid w:val="6568537C"/>
    <w:rsid w:val="65924FFE"/>
    <w:rsid w:val="65A1ADAE"/>
    <w:rsid w:val="65EA5124"/>
    <w:rsid w:val="66431D38"/>
    <w:rsid w:val="6645B881"/>
    <w:rsid w:val="6649190C"/>
    <w:rsid w:val="664F871F"/>
    <w:rsid w:val="6660D510"/>
    <w:rsid w:val="6664D555"/>
    <w:rsid w:val="669DDC0A"/>
    <w:rsid w:val="66AA632F"/>
    <w:rsid w:val="6741CFFE"/>
    <w:rsid w:val="675F767C"/>
    <w:rsid w:val="67847148"/>
    <w:rsid w:val="67C6D9A1"/>
    <w:rsid w:val="681626E2"/>
    <w:rsid w:val="6834829D"/>
    <w:rsid w:val="685FA356"/>
    <w:rsid w:val="687FE2EB"/>
    <w:rsid w:val="688FB56A"/>
    <w:rsid w:val="68945E42"/>
    <w:rsid w:val="68AD8EA0"/>
    <w:rsid w:val="68C228D8"/>
    <w:rsid w:val="68CD5E4F"/>
    <w:rsid w:val="68D8AC60"/>
    <w:rsid w:val="68DEF752"/>
    <w:rsid w:val="68EC0FB8"/>
    <w:rsid w:val="6907D1F6"/>
    <w:rsid w:val="6918C7C7"/>
    <w:rsid w:val="692041A9"/>
    <w:rsid w:val="69262A63"/>
    <w:rsid w:val="6929EB87"/>
    <w:rsid w:val="6939B476"/>
    <w:rsid w:val="694DD2A5"/>
    <w:rsid w:val="697DC005"/>
    <w:rsid w:val="69B59D4F"/>
    <w:rsid w:val="69C3D1BB"/>
    <w:rsid w:val="69F8B49A"/>
    <w:rsid w:val="6A32ACC6"/>
    <w:rsid w:val="6A3B0464"/>
    <w:rsid w:val="6A7AC7B3"/>
    <w:rsid w:val="6A7DEEE1"/>
    <w:rsid w:val="6A94509A"/>
    <w:rsid w:val="6A961CB1"/>
    <w:rsid w:val="6AD584D7"/>
    <w:rsid w:val="6AEF36AA"/>
    <w:rsid w:val="6AF4009F"/>
    <w:rsid w:val="6B16173A"/>
    <w:rsid w:val="6B47F168"/>
    <w:rsid w:val="6B48477A"/>
    <w:rsid w:val="6B59C451"/>
    <w:rsid w:val="6B68915D"/>
    <w:rsid w:val="6B77528D"/>
    <w:rsid w:val="6BADB55F"/>
    <w:rsid w:val="6BB15E53"/>
    <w:rsid w:val="6BD3E21C"/>
    <w:rsid w:val="6BE0ACD0"/>
    <w:rsid w:val="6BE0EDA3"/>
    <w:rsid w:val="6BF6374A"/>
    <w:rsid w:val="6BF97B1E"/>
    <w:rsid w:val="6BFF124B"/>
    <w:rsid w:val="6C175B87"/>
    <w:rsid w:val="6C4272A4"/>
    <w:rsid w:val="6CC04816"/>
    <w:rsid w:val="6CE20CB7"/>
    <w:rsid w:val="6D14BB5A"/>
    <w:rsid w:val="6D4C524E"/>
    <w:rsid w:val="6DA8FE3B"/>
    <w:rsid w:val="6DEBC546"/>
    <w:rsid w:val="6E2B9701"/>
    <w:rsid w:val="6E361B25"/>
    <w:rsid w:val="6E87FC28"/>
    <w:rsid w:val="6E8FF2E2"/>
    <w:rsid w:val="6E989CB0"/>
    <w:rsid w:val="6F36B9F8"/>
    <w:rsid w:val="6F49397A"/>
    <w:rsid w:val="6F56265C"/>
    <w:rsid w:val="6F6296BE"/>
    <w:rsid w:val="6F645193"/>
    <w:rsid w:val="6F70711B"/>
    <w:rsid w:val="6F7CCB32"/>
    <w:rsid w:val="6F8AD520"/>
    <w:rsid w:val="6F95BB11"/>
    <w:rsid w:val="6FAB9D8A"/>
    <w:rsid w:val="6FC602EC"/>
    <w:rsid w:val="6FD2E279"/>
    <w:rsid w:val="702522B7"/>
    <w:rsid w:val="7033FE08"/>
    <w:rsid w:val="70590219"/>
    <w:rsid w:val="705DCF6F"/>
    <w:rsid w:val="7068E43B"/>
    <w:rsid w:val="7077C607"/>
    <w:rsid w:val="707B589A"/>
    <w:rsid w:val="70A03D3B"/>
    <w:rsid w:val="70B10D87"/>
    <w:rsid w:val="70CCEC41"/>
    <w:rsid w:val="70D28A59"/>
    <w:rsid w:val="70FB7A49"/>
    <w:rsid w:val="7110F824"/>
    <w:rsid w:val="71335227"/>
    <w:rsid w:val="7150B71E"/>
    <w:rsid w:val="715FDCCE"/>
    <w:rsid w:val="71703505"/>
    <w:rsid w:val="71A786D7"/>
    <w:rsid w:val="71BF9CEA"/>
    <w:rsid w:val="71C4E9B3"/>
    <w:rsid w:val="71DDAC0E"/>
    <w:rsid w:val="72072F33"/>
    <w:rsid w:val="721728FB"/>
    <w:rsid w:val="7225ACF1"/>
    <w:rsid w:val="724F41B6"/>
    <w:rsid w:val="724FEE54"/>
    <w:rsid w:val="72680D6A"/>
    <w:rsid w:val="7280DA3C"/>
    <w:rsid w:val="729875ED"/>
    <w:rsid w:val="72B942C9"/>
    <w:rsid w:val="72C3940E"/>
    <w:rsid w:val="72C8916E"/>
    <w:rsid w:val="72CF2288"/>
    <w:rsid w:val="72E12032"/>
    <w:rsid w:val="7316072E"/>
    <w:rsid w:val="735C7F95"/>
    <w:rsid w:val="735CC379"/>
    <w:rsid w:val="736E8455"/>
    <w:rsid w:val="739B813C"/>
    <w:rsid w:val="73A2FF94"/>
    <w:rsid w:val="73C16AEE"/>
    <w:rsid w:val="73E31374"/>
    <w:rsid w:val="740D4DD7"/>
    <w:rsid w:val="741CDC73"/>
    <w:rsid w:val="74200BCA"/>
    <w:rsid w:val="7429977F"/>
    <w:rsid w:val="74616E4E"/>
    <w:rsid w:val="748990B0"/>
    <w:rsid w:val="749BEC7A"/>
    <w:rsid w:val="74D0D502"/>
    <w:rsid w:val="74ED1E9C"/>
    <w:rsid w:val="74F89E72"/>
    <w:rsid w:val="75048F8E"/>
    <w:rsid w:val="7520A3C6"/>
    <w:rsid w:val="75322CF7"/>
    <w:rsid w:val="756A6BA5"/>
    <w:rsid w:val="757EC70B"/>
    <w:rsid w:val="757EE3D5"/>
    <w:rsid w:val="75B5C30F"/>
    <w:rsid w:val="75BBDC2B"/>
    <w:rsid w:val="75F38CEE"/>
    <w:rsid w:val="7605F636"/>
    <w:rsid w:val="761461B2"/>
    <w:rsid w:val="764223FD"/>
    <w:rsid w:val="76544CF1"/>
    <w:rsid w:val="76551B72"/>
    <w:rsid w:val="76873792"/>
    <w:rsid w:val="7688FA90"/>
    <w:rsid w:val="76930E0D"/>
    <w:rsid w:val="76931594"/>
    <w:rsid w:val="76BA0534"/>
    <w:rsid w:val="76C1F2BA"/>
    <w:rsid w:val="76E3EEA2"/>
    <w:rsid w:val="77381C97"/>
    <w:rsid w:val="774014B5"/>
    <w:rsid w:val="776EBAED"/>
    <w:rsid w:val="77AB3EEC"/>
    <w:rsid w:val="77E1E228"/>
    <w:rsid w:val="78010590"/>
    <w:rsid w:val="78222C97"/>
    <w:rsid w:val="782EDE6E"/>
    <w:rsid w:val="782FF0B8"/>
    <w:rsid w:val="78303F34"/>
    <w:rsid w:val="78E8FF43"/>
    <w:rsid w:val="79002FD0"/>
    <w:rsid w:val="7928801A"/>
    <w:rsid w:val="79538686"/>
    <w:rsid w:val="797A2D72"/>
    <w:rsid w:val="79A0488A"/>
    <w:rsid w:val="79A34510"/>
    <w:rsid w:val="79B2DCA0"/>
    <w:rsid w:val="79BD573B"/>
    <w:rsid w:val="79CAB656"/>
    <w:rsid w:val="79D67016"/>
    <w:rsid w:val="79DB860B"/>
    <w:rsid w:val="79F54E71"/>
    <w:rsid w:val="79F9937C"/>
    <w:rsid w:val="7A5DE072"/>
    <w:rsid w:val="7A5F97DD"/>
    <w:rsid w:val="7A95CCB2"/>
    <w:rsid w:val="7AA54965"/>
    <w:rsid w:val="7ADA346D"/>
    <w:rsid w:val="7AE48A8D"/>
    <w:rsid w:val="7AEF56E7"/>
    <w:rsid w:val="7AFBECE0"/>
    <w:rsid w:val="7B072B74"/>
    <w:rsid w:val="7B900D21"/>
    <w:rsid w:val="7B90A25A"/>
    <w:rsid w:val="7B9563DD"/>
    <w:rsid w:val="7BA9C714"/>
    <w:rsid w:val="7BE3BEE3"/>
    <w:rsid w:val="7C2B1C8E"/>
    <w:rsid w:val="7C4119C6"/>
    <w:rsid w:val="7C54DDD8"/>
    <w:rsid w:val="7C5E8958"/>
    <w:rsid w:val="7C710406"/>
    <w:rsid w:val="7C7604CE"/>
    <w:rsid w:val="7CA79AFA"/>
    <w:rsid w:val="7CDCD9F3"/>
    <w:rsid w:val="7D024F91"/>
    <w:rsid w:val="7D0D72B7"/>
    <w:rsid w:val="7D32E587"/>
    <w:rsid w:val="7D3583E9"/>
    <w:rsid w:val="7D9221C9"/>
    <w:rsid w:val="7DAE460C"/>
    <w:rsid w:val="7DE2B326"/>
    <w:rsid w:val="7DE69282"/>
    <w:rsid w:val="7DFE64C2"/>
    <w:rsid w:val="7E4D35E2"/>
    <w:rsid w:val="7E542C75"/>
    <w:rsid w:val="7E5FAB3C"/>
    <w:rsid w:val="7E723C41"/>
    <w:rsid w:val="7E754ED8"/>
    <w:rsid w:val="7E918DD2"/>
    <w:rsid w:val="7E9E1FF2"/>
    <w:rsid w:val="7EC05596"/>
    <w:rsid w:val="7ED5D82A"/>
    <w:rsid w:val="7ED99C9F"/>
    <w:rsid w:val="7EF10F36"/>
    <w:rsid w:val="7F013211"/>
    <w:rsid w:val="7F363153"/>
    <w:rsid w:val="7F64B362"/>
    <w:rsid w:val="7F66A144"/>
    <w:rsid w:val="7F78BA88"/>
    <w:rsid w:val="7FA35B25"/>
    <w:rsid w:val="7FBCE41D"/>
    <w:rsid w:val="7FBFA33A"/>
    <w:rsid w:val="7FD1838B"/>
    <w:rsid w:val="7FE90643"/>
    <w:rsid w:val="7FFBE3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28BCD2"/>
  <w15:docId w15:val="{B7AE0EFE-DCD3-4038-88DC-40C8DF80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7110F824"/>
    <w:pPr>
      <w:spacing w:after="0"/>
    </w:pPr>
    <w:rPr>
      <w:rFonts w:ascii="Times New Roman" w:eastAsia="Times New Roman" w:hAnsi="Times New Roman" w:cs="Times New Roman"/>
      <w:sz w:val="24"/>
      <w:szCs w:val="24"/>
      <w:lang w:eastAsia="en-US"/>
    </w:rPr>
  </w:style>
  <w:style w:type="paragraph" w:styleId="Nadpis1">
    <w:name w:val="heading 1"/>
    <w:basedOn w:val="Normln"/>
    <w:next w:val="Normln"/>
    <w:link w:val="Nadpis1Char"/>
    <w:uiPriority w:val="1"/>
    <w:rsid w:val="7110F824"/>
    <w:pPr>
      <w:keepNext/>
      <w:jc w:val="both"/>
      <w:outlineLvl w:val="0"/>
    </w:pPr>
    <w:rPr>
      <w:rFonts w:ascii="Futura Bk BT" w:hAnsi="Futura Bk BT"/>
      <w:b/>
      <w:bCs/>
      <w:color w:val="999999"/>
      <w:sz w:val="20"/>
      <w:szCs w:val="20"/>
    </w:rPr>
  </w:style>
  <w:style w:type="paragraph" w:styleId="Nadpis2">
    <w:name w:val="heading 2"/>
    <w:basedOn w:val="Normln"/>
    <w:next w:val="Normln"/>
    <w:link w:val="Nadpis2Char"/>
    <w:uiPriority w:val="9"/>
    <w:semiHidden/>
    <w:unhideWhenUsed/>
    <w:rsid w:val="7110F824"/>
    <w:pPr>
      <w:keepNext/>
      <w:spacing w:before="40"/>
      <w:outlineLvl w:val="1"/>
    </w:pPr>
    <w:rPr>
      <w:rFonts w:asciiTheme="majorHAnsi" w:eastAsiaTheme="majorEastAsia" w:hAnsiTheme="majorHAnsi" w:cstheme="majorBidi"/>
      <w:color w:val="17294B" w:themeColor="accent1" w:themeShade="BF"/>
      <w:sz w:val="26"/>
      <w:szCs w:val="26"/>
    </w:rPr>
  </w:style>
  <w:style w:type="paragraph" w:styleId="Nadpis3">
    <w:name w:val="heading 3"/>
    <w:basedOn w:val="Normln"/>
    <w:next w:val="Normln"/>
    <w:link w:val="Nadpis3Char"/>
    <w:uiPriority w:val="9"/>
    <w:semiHidden/>
    <w:unhideWhenUsed/>
    <w:qFormat/>
    <w:rsid w:val="7110F824"/>
    <w:pPr>
      <w:keepNext/>
      <w:spacing w:before="40"/>
      <w:outlineLvl w:val="2"/>
    </w:pPr>
    <w:rPr>
      <w:rFonts w:asciiTheme="majorHAnsi" w:eastAsiaTheme="majorEastAsia" w:hAnsiTheme="majorHAnsi" w:cstheme="majorBidi"/>
      <w:color w:val="0F1B32" w:themeColor="accent1" w:themeShade="80"/>
    </w:rPr>
  </w:style>
  <w:style w:type="paragraph" w:styleId="Nadpis4">
    <w:name w:val="heading 4"/>
    <w:basedOn w:val="Normln"/>
    <w:next w:val="Normln"/>
    <w:link w:val="Nadpis4Char"/>
    <w:uiPriority w:val="9"/>
    <w:unhideWhenUsed/>
    <w:qFormat/>
    <w:rsid w:val="7110F824"/>
    <w:pPr>
      <w:keepNext/>
      <w:spacing w:before="40"/>
      <w:outlineLvl w:val="3"/>
    </w:pPr>
    <w:rPr>
      <w:rFonts w:asciiTheme="majorHAnsi" w:eastAsiaTheme="majorEastAsia" w:hAnsiTheme="majorHAnsi" w:cstheme="majorBidi"/>
      <w:i/>
      <w:iCs/>
      <w:color w:val="17294B" w:themeColor="accent1" w:themeShade="BF"/>
    </w:rPr>
  </w:style>
  <w:style w:type="paragraph" w:styleId="Nadpis5">
    <w:name w:val="heading 5"/>
    <w:basedOn w:val="Normln"/>
    <w:next w:val="Normln"/>
    <w:link w:val="Nadpis5Char"/>
    <w:uiPriority w:val="9"/>
    <w:semiHidden/>
    <w:unhideWhenUsed/>
    <w:qFormat/>
    <w:rsid w:val="7110F824"/>
    <w:pPr>
      <w:keepNext/>
      <w:spacing w:before="40"/>
      <w:outlineLvl w:val="4"/>
    </w:pPr>
    <w:rPr>
      <w:rFonts w:asciiTheme="majorHAnsi" w:eastAsiaTheme="majorEastAsia" w:hAnsiTheme="majorHAnsi" w:cstheme="majorBidi"/>
      <w:color w:val="17294B" w:themeColor="accent1" w:themeShade="BF"/>
    </w:rPr>
  </w:style>
  <w:style w:type="paragraph" w:styleId="Nadpis6">
    <w:name w:val="heading 6"/>
    <w:basedOn w:val="Normln"/>
    <w:next w:val="Normln"/>
    <w:link w:val="Nadpis6Char"/>
    <w:uiPriority w:val="9"/>
    <w:semiHidden/>
    <w:unhideWhenUsed/>
    <w:qFormat/>
    <w:rsid w:val="7110F824"/>
    <w:pPr>
      <w:keepNext/>
      <w:spacing w:before="40"/>
      <w:outlineLvl w:val="5"/>
    </w:pPr>
    <w:rPr>
      <w:rFonts w:asciiTheme="majorHAnsi" w:eastAsiaTheme="majorEastAsia" w:hAnsiTheme="majorHAnsi" w:cstheme="majorBidi"/>
      <w:color w:val="0F1B32" w:themeColor="accent1" w:themeShade="80"/>
    </w:rPr>
  </w:style>
  <w:style w:type="paragraph" w:styleId="Nadpis7">
    <w:name w:val="heading 7"/>
    <w:basedOn w:val="Normln"/>
    <w:next w:val="Normln"/>
    <w:link w:val="Nadpis7Char"/>
    <w:uiPriority w:val="9"/>
    <w:unhideWhenUsed/>
    <w:qFormat/>
    <w:rsid w:val="7110F824"/>
    <w:pPr>
      <w:keepNext/>
      <w:spacing w:before="40"/>
      <w:outlineLvl w:val="6"/>
    </w:pPr>
    <w:rPr>
      <w:rFonts w:asciiTheme="majorHAnsi" w:eastAsiaTheme="majorEastAsia" w:hAnsiTheme="majorHAnsi" w:cstheme="majorBidi"/>
      <w:i/>
      <w:iCs/>
      <w:color w:val="0F1B32" w:themeColor="accent1" w:themeShade="80"/>
    </w:rPr>
  </w:style>
  <w:style w:type="paragraph" w:styleId="Nadpis8">
    <w:name w:val="heading 8"/>
    <w:basedOn w:val="Normln"/>
    <w:next w:val="Normln"/>
    <w:link w:val="Nadpis8Char"/>
    <w:uiPriority w:val="9"/>
    <w:unhideWhenUsed/>
    <w:qFormat/>
    <w:rsid w:val="7110F824"/>
    <w:pPr>
      <w:keepNext/>
      <w:spacing w:before="40"/>
      <w:outlineLvl w:val="7"/>
    </w:pPr>
    <w:rPr>
      <w:rFonts w:asciiTheme="majorHAnsi" w:eastAsiaTheme="majorEastAsia" w:hAnsiTheme="majorHAnsi" w:cstheme="majorBidi"/>
      <w:color w:val="5A6F72"/>
      <w:sz w:val="21"/>
      <w:szCs w:val="21"/>
    </w:rPr>
  </w:style>
  <w:style w:type="paragraph" w:styleId="Nadpis9">
    <w:name w:val="heading 9"/>
    <w:basedOn w:val="Normln"/>
    <w:next w:val="Normln"/>
    <w:link w:val="Nadpis9Char"/>
    <w:uiPriority w:val="9"/>
    <w:unhideWhenUsed/>
    <w:qFormat/>
    <w:rsid w:val="7110F824"/>
    <w:pPr>
      <w:keepNext/>
      <w:spacing w:before="40"/>
      <w:outlineLvl w:val="8"/>
    </w:pPr>
    <w:rPr>
      <w:rFonts w:asciiTheme="majorHAnsi" w:eastAsiaTheme="majorEastAsia" w:hAnsiTheme="majorHAnsi" w:cstheme="majorBidi"/>
      <w:i/>
      <w:iCs/>
      <w:color w:val="5A6F72"/>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7110F824"/>
    <w:pPr>
      <w:tabs>
        <w:tab w:val="center" w:pos="4680"/>
        <w:tab w:val="right" w:pos="9360"/>
      </w:tabs>
    </w:pPr>
  </w:style>
  <w:style w:type="character" w:customStyle="1" w:styleId="ZhlavChar">
    <w:name w:val="Záhlaví Char"/>
    <w:basedOn w:val="Standardnpsmoodstavce"/>
    <w:link w:val="Zhlav"/>
    <w:uiPriority w:val="99"/>
    <w:rsid w:val="7110F824"/>
    <w:rPr>
      <w:noProof w:val="0"/>
      <w:lang w:val="en-GB"/>
    </w:rPr>
  </w:style>
  <w:style w:type="paragraph" w:styleId="Zpat">
    <w:name w:val="footer"/>
    <w:basedOn w:val="Normln"/>
    <w:link w:val="ZpatChar"/>
    <w:uiPriority w:val="99"/>
    <w:unhideWhenUsed/>
    <w:rsid w:val="7110F824"/>
    <w:pPr>
      <w:tabs>
        <w:tab w:val="center" w:pos="4680"/>
        <w:tab w:val="right" w:pos="9360"/>
      </w:tabs>
    </w:pPr>
  </w:style>
  <w:style w:type="character" w:customStyle="1" w:styleId="ZpatChar">
    <w:name w:val="Zápatí Char"/>
    <w:basedOn w:val="Standardnpsmoodstavce"/>
    <w:link w:val="Zpat"/>
    <w:uiPriority w:val="99"/>
    <w:rsid w:val="7110F824"/>
    <w:rPr>
      <w:noProof w:val="0"/>
      <w:lang w:val="en-GB"/>
    </w:rPr>
  </w:style>
  <w:style w:type="paragraph" w:styleId="Textbubliny">
    <w:name w:val="Balloon Text"/>
    <w:basedOn w:val="Normln"/>
    <w:link w:val="TextbublinyChar"/>
    <w:uiPriority w:val="99"/>
    <w:semiHidden/>
    <w:unhideWhenUsed/>
    <w:rsid w:val="7110F824"/>
    <w:rPr>
      <w:rFonts w:ascii="Tahoma" w:hAnsi="Tahoma" w:cs="Tahoma"/>
      <w:sz w:val="16"/>
      <w:szCs w:val="16"/>
    </w:rPr>
  </w:style>
  <w:style w:type="character" w:customStyle="1" w:styleId="TextbublinyChar">
    <w:name w:val="Text bubliny Char"/>
    <w:basedOn w:val="Standardnpsmoodstavce"/>
    <w:link w:val="Textbubliny"/>
    <w:uiPriority w:val="99"/>
    <w:semiHidden/>
    <w:rsid w:val="7110F824"/>
    <w:rPr>
      <w:rFonts w:ascii="Tahoma" w:eastAsiaTheme="minorEastAsia" w:hAnsi="Tahoma" w:cs="Tahoma"/>
      <w:noProof w:val="0"/>
      <w:sz w:val="16"/>
      <w:szCs w:val="16"/>
      <w:lang w:val="en-GB"/>
    </w:rPr>
  </w:style>
  <w:style w:type="paragraph" w:customStyle="1" w:styleId="MainText">
    <w:name w:val="Main Text"/>
    <w:basedOn w:val="Normln"/>
    <w:uiPriority w:val="1"/>
    <w:rsid w:val="7110F824"/>
    <w:pPr>
      <w:spacing w:line="300" w:lineRule="exact"/>
      <w:ind w:left="120"/>
    </w:pPr>
  </w:style>
  <w:style w:type="character" w:styleId="Hypertextovodkaz">
    <w:name w:val="Hyperlink"/>
    <w:basedOn w:val="Standardnpsmoodstavce"/>
    <w:uiPriority w:val="99"/>
    <w:unhideWhenUsed/>
    <w:rsid w:val="00F81642"/>
    <w:rPr>
      <w:color w:val="80BBAD" w:themeColor="hyperlink"/>
      <w:u w:val="single"/>
    </w:rPr>
  </w:style>
  <w:style w:type="character" w:customStyle="1" w:styleId="Nadpis1Char">
    <w:name w:val="Nadpis 1 Char"/>
    <w:basedOn w:val="Standardnpsmoodstavce"/>
    <w:link w:val="Nadpis1"/>
    <w:uiPriority w:val="1"/>
    <w:rsid w:val="7110F824"/>
    <w:rPr>
      <w:rFonts w:ascii="Futura Bk BT" w:eastAsia="Times New Roman" w:hAnsi="Futura Bk BT" w:cs="Times New Roman"/>
      <w:b/>
      <w:bCs/>
      <w:noProof w:val="0"/>
      <w:color w:val="999999"/>
      <w:sz w:val="20"/>
      <w:szCs w:val="20"/>
      <w:lang w:val="en-GB" w:eastAsia="en-US"/>
    </w:rPr>
  </w:style>
  <w:style w:type="character" w:customStyle="1" w:styleId="UnresolvedMention1">
    <w:name w:val="Unresolved Mention1"/>
    <w:basedOn w:val="Standardnpsmoodstavce"/>
    <w:uiPriority w:val="99"/>
    <w:semiHidden/>
    <w:unhideWhenUsed/>
    <w:rsid w:val="00685808"/>
    <w:rPr>
      <w:color w:val="808080"/>
      <w:shd w:val="clear" w:color="auto" w:fill="E6E6E6"/>
    </w:rPr>
  </w:style>
  <w:style w:type="paragraph" w:customStyle="1" w:styleId="BodyCopy">
    <w:name w:val="Body Copy"/>
    <w:basedOn w:val="Normln"/>
    <w:uiPriority w:val="1"/>
    <w:qFormat/>
    <w:rsid w:val="7110F824"/>
    <w:rPr>
      <w:color w:val="425254" w:themeColor="text1"/>
    </w:rPr>
  </w:style>
  <w:style w:type="paragraph" w:customStyle="1" w:styleId="Boilerplate">
    <w:name w:val="Boilerplate"/>
    <w:basedOn w:val="Normln"/>
    <w:uiPriority w:val="1"/>
    <w:rsid w:val="7110F824"/>
    <w:rPr>
      <w:rFonts w:ascii="Calibre" w:eastAsia="Calibri" w:hAnsi="Calibre"/>
      <w:color w:val="7F8481" w:themeColor="accent5"/>
      <w:sz w:val="21"/>
      <w:szCs w:val="21"/>
    </w:rPr>
  </w:style>
  <w:style w:type="paragraph" w:customStyle="1" w:styleId="Subhead">
    <w:name w:val="Subhead"/>
    <w:basedOn w:val="Normln"/>
    <w:uiPriority w:val="1"/>
    <w:qFormat/>
    <w:rsid w:val="7110F824"/>
    <w:pPr>
      <w:jc w:val="center"/>
    </w:pPr>
    <w:rPr>
      <w:i/>
      <w:iCs/>
      <w:color w:val="425254" w:themeColor="text1"/>
    </w:rPr>
  </w:style>
  <w:style w:type="paragraph" w:customStyle="1" w:styleId="Headline">
    <w:name w:val="Headline"/>
    <w:basedOn w:val="Normln"/>
    <w:uiPriority w:val="1"/>
    <w:qFormat/>
    <w:rsid w:val="7110F824"/>
    <w:pPr>
      <w:jc w:val="center"/>
    </w:pPr>
    <w:rPr>
      <w:b/>
      <w:bCs/>
      <w:color w:val="425254" w:themeColor="text1"/>
      <w:sz w:val="28"/>
      <w:szCs w:val="28"/>
    </w:rPr>
  </w:style>
  <w:style w:type="paragraph" w:customStyle="1" w:styleId="Contact">
    <w:name w:val="Contact"/>
    <w:basedOn w:val="MainText"/>
    <w:uiPriority w:val="1"/>
    <w:qFormat/>
    <w:rsid w:val="7110F824"/>
    <w:pPr>
      <w:ind w:left="0"/>
    </w:pPr>
    <w:rPr>
      <w:b/>
      <w:bCs/>
      <w:color w:val="425254" w:themeColor="text1"/>
    </w:rPr>
  </w:style>
  <w:style w:type="character" w:styleId="Odkaznakoment">
    <w:name w:val="annotation reference"/>
    <w:basedOn w:val="Standardnpsmoodstavce"/>
    <w:uiPriority w:val="99"/>
    <w:unhideWhenUsed/>
    <w:rsid w:val="007C1420"/>
    <w:rPr>
      <w:sz w:val="16"/>
      <w:szCs w:val="16"/>
    </w:rPr>
  </w:style>
  <w:style w:type="paragraph" w:styleId="Textkomente">
    <w:name w:val="annotation text"/>
    <w:basedOn w:val="Normln"/>
    <w:link w:val="TextkomenteChar"/>
    <w:uiPriority w:val="99"/>
    <w:unhideWhenUsed/>
    <w:rsid w:val="7110F824"/>
    <w:rPr>
      <w:sz w:val="20"/>
      <w:szCs w:val="20"/>
    </w:rPr>
  </w:style>
  <w:style w:type="character" w:customStyle="1" w:styleId="TextkomenteChar">
    <w:name w:val="Text komentáře Char"/>
    <w:basedOn w:val="Standardnpsmoodstavce"/>
    <w:link w:val="Textkomente"/>
    <w:uiPriority w:val="99"/>
    <w:rsid w:val="7110F824"/>
    <w:rPr>
      <w:rFonts w:ascii="Times New Roman" w:eastAsia="Times New Roman" w:hAnsi="Times New Roman" w:cs="Times New Roman"/>
      <w:noProof w:val="0"/>
      <w:sz w:val="20"/>
      <w:szCs w:val="20"/>
      <w:lang w:val="en-GB" w:eastAsia="en-US"/>
    </w:rPr>
  </w:style>
  <w:style w:type="paragraph" w:styleId="Pedmtkomente">
    <w:name w:val="annotation subject"/>
    <w:basedOn w:val="Textkomente"/>
    <w:next w:val="Textkomente"/>
    <w:link w:val="PedmtkomenteChar"/>
    <w:uiPriority w:val="99"/>
    <w:semiHidden/>
    <w:unhideWhenUsed/>
    <w:rsid w:val="7110F824"/>
    <w:rPr>
      <w:b/>
      <w:bCs/>
    </w:rPr>
  </w:style>
  <w:style w:type="character" w:customStyle="1" w:styleId="PedmtkomenteChar">
    <w:name w:val="Předmět komentáře Char"/>
    <w:basedOn w:val="TextkomenteChar"/>
    <w:link w:val="Pedmtkomente"/>
    <w:uiPriority w:val="99"/>
    <w:semiHidden/>
    <w:rsid w:val="7110F824"/>
    <w:rPr>
      <w:rFonts w:ascii="Times New Roman" w:eastAsia="Times New Roman" w:hAnsi="Times New Roman" w:cs="Times New Roman"/>
      <w:b/>
      <w:bCs/>
      <w:noProof w:val="0"/>
      <w:sz w:val="20"/>
      <w:szCs w:val="20"/>
      <w:lang w:val="en-GB" w:eastAsia="en-US"/>
    </w:rPr>
  </w:style>
  <w:style w:type="character" w:customStyle="1" w:styleId="normaltextrun">
    <w:name w:val="normaltextrun"/>
    <w:rsid w:val="003B0B9B"/>
  </w:style>
  <w:style w:type="paragraph" w:styleId="Textpoznpodarou">
    <w:name w:val="footnote text"/>
    <w:basedOn w:val="Normln"/>
    <w:link w:val="TextpoznpodarouChar"/>
    <w:uiPriority w:val="1"/>
    <w:rsid w:val="7110F824"/>
    <w:rPr>
      <w:sz w:val="20"/>
      <w:szCs w:val="20"/>
    </w:rPr>
  </w:style>
  <w:style w:type="character" w:customStyle="1" w:styleId="TextpoznpodarouChar">
    <w:name w:val="Text pozn. pod čarou Char"/>
    <w:basedOn w:val="Standardnpsmoodstavce"/>
    <w:link w:val="Textpoznpodarou"/>
    <w:uiPriority w:val="1"/>
    <w:rsid w:val="7110F824"/>
    <w:rPr>
      <w:rFonts w:ascii="Times New Roman" w:eastAsia="Times New Roman" w:hAnsi="Times New Roman" w:cs="Times New Roman"/>
      <w:noProof w:val="0"/>
      <w:sz w:val="20"/>
      <w:szCs w:val="20"/>
      <w:lang w:val="en-GB" w:eastAsia="en-US"/>
    </w:rPr>
  </w:style>
  <w:style w:type="character" w:styleId="Znakapoznpodarou">
    <w:name w:val="footnote reference"/>
    <w:rsid w:val="00D43EBE"/>
    <w:rPr>
      <w:vertAlign w:val="superscript"/>
    </w:rPr>
  </w:style>
  <w:style w:type="paragraph" w:styleId="Odstavecseseznamem">
    <w:name w:val="List Paragraph"/>
    <w:basedOn w:val="Normln"/>
    <w:uiPriority w:val="34"/>
    <w:qFormat/>
    <w:rsid w:val="7110F824"/>
    <w:pPr>
      <w:ind w:left="720"/>
    </w:pPr>
    <w:rPr>
      <w:rFonts w:ascii="Calibri" w:eastAsiaTheme="minorEastAsia" w:hAnsi="Calibri" w:cs="Calibri"/>
      <w:sz w:val="22"/>
      <w:szCs w:val="22"/>
    </w:rPr>
  </w:style>
  <w:style w:type="paragraph" w:styleId="Revize">
    <w:name w:val="Revision"/>
    <w:hidden/>
    <w:uiPriority w:val="99"/>
    <w:semiHidden/>
    <w:rsid w:val="00CA2436"/>
    <w:pPr>
      <w:spacing w:after="0" w:line="240" w:lineRule="auto"/>
    </w:pPr>
    <w:rPr>
      <w:rFonts w:ascii="Times New Roman" w:eastAsia="Times New Roman" w:hAnsi="Times New Roman" w:cs="Times New Roman"/>
      <w:sz w:val="24"/>
      <w:szCs w:val="24"/>
      <w:lang w:eastAsia="en-US"/>
    </w:rPr>
  </w:style>
  <w:style w:type="character" w:customStyle="1" w:styleId="Nadpis2Char">
    <w:name w:val="Nadpis 2 Char"/>
    <w:basedOn w:val="Standardnpsmoodstavce"/>
    <w:link w:val="Nadpis2"/>
    <w:uiPriority w:val="9"/>
    <w:semiHidden/>
    <w:rsid w:val="7110F824"/>
    <w:rPr>
      <w:rFonts w:asciiTheme="majorHAnsi" w:eastAsiaTheme="majorEastAsia" w:hAnsiTheme="majorHAnsi" w:cstheme="majorBidi"/>
      <w:noProof w:val="0"/>
      <w:color w:val="17294B" w:themeColor="accent1" w:themeShade="BF"/>
      <w:sz w:val="26"/>
      <w:szCs w:val="26"/>
      <w:lang w:val="en-GB" w:eastAsia="en-US"/>
    </w:rPr>
  </w:style>
  <w:style w:type="character" w:customStyle="1" w:styleId="Nadpis3Char">
    <w:name w:val="Nadpis 3 Char"/>
    <w:basedOn w:val="Standardnpsmoodstavce"/>
    <w:link w:val="Nadpis3"/>
    <w:uiPriority w:val="9"/>
    <w:semiHidden/>
    <w:rsid w:val="7110F824"/>
    <w:rPr>
      <w:rFonts w:asciiTheme="majorHAnsi" w:eastAsiaTheme="majorEastAsia" w:hAnsiTheme="majorHAnsi" w:cstheme="majorBidi"/>
      <w:noProof w:val="0"/>
      <w:color w:val="0F1B32" w:themeColor="accent1" w:themeShade="80"/>
      <w:sz w:val="24"/>
      <w:szCs w:val="24"/>
      <w:lang w:val="en-GB" w:eastAsia="en-US"/>
    </w:rPr>
  </w:style>
  <w:style w:type="character" w:customStyle="1" w:styleId="Nadpis6Char">
    <w:name w:val="Nadpis 6 Char"/>
    <w:basedOn w:val="Standardnpsmoodstavce"/>
    <w:link w:val="Nadpis6"/>
    <w:uiPriority w:val="9"/>
    <w:semiHidden/>
    <w:rsid w:val="7110F824"/>
    <w:rPr>
      <w:rFonts w:asciiTheme="majorHAnsi" w:eastAsiaTheme="majorEastAsia" w:hAnsiTheme="majorHAnsi" w:cstheme="majorBidi"/>
      <w:noProof w:val="0"/>
      <w:color w:val="0F1B32" w:themeColor="accent1" w:themeShade="80"/>
      <w:sz w:val="24"/>
      <w:szCs w:val="24"/>
      <w:lang w:val="en-GB" w:eastAsia="en-US"/>
    </w:rPr>
  </w:style>
  <w:style w:type="paragraph" w:customStyle="1" w:styleId="ez">
    <w:name w:val="e_z"/>
    <w:basedOn w:val="Normln"/>
    <w:uiPriority w:val="1"/>
    <w:rsid w:val="7110F824"/>
    <w:pPr>
      <w:spacing w:beforeAutospacing="1" w:afterAutospacing="1"/>
    </w:pPr>
    <w:rPr>
      <w:lang w:eastAsia="cs-CZ"/>
    </w:rPr>
  </w:style>
  <w:style w:type="character" w:customStyle="1" w:styleId="atm-text-decorator">
    <w:name w:val="atm-text-decorator"/>
    <w:basedOn w:val="Standardnpsmoodstavce"/>
    <w:rsid w:val="00047123"/>
  </w:style>
  <w:style w:type="character" w:customStyle="1" w:styleId="mol-formatted-datedate">
    <w:name w:val="mol-formatted-date__date"/>
    <w:basedOn w:val="Standardnpsmoodstavce"/>
    <w:rsid w:val="00047123"/>
  </w:style>
  <w:style w:type="character" w:customStyle="1" w:styleId="mol-formatted-datetime">
    <w:name w:val="mol-formatted-date__time"/>
    <w:basedOn w:val="Standardnpsmoodstavce"/>
    <w:rsid w:val="00047123"/>
  </w:style>
  <w:style w:type="paragraph" w:styleId="Normlnweb">
    <w:name w:val="Normal (Web)"/>
    <w:basedOn w:val="Normln"/>
    <w:uiPriority w:val="99"/>
    <w:semiHidden/>
    <w:unhideWhenUsed/>
    <w:rsid w:val="7110F824"/>
    <w:pPr>
      <w:spacing w:beforeAutospacing="1" w:afterAutospacing="1"/>
    </w:pPr>
    <w:rPr>
      <w:lang w:eastAsia="cs-CZ"/>
    </w:rPr>
  </w:style>
  <w:style w:type="character" w:customStyle="1" w:styleId="viiyi">
    <w:name w:val="viiyi"/>
    <w:basedOn w:val="Standardnpsmoodstavce"/>
    <w:rsid w:val="0021614D"/>
  </w:style>
  <w:style w:type="character" w:customStyle="1" w:styleId="jlqj4b">
    <w:name w:val="jlqj4b"/>
    <w:basedOn w:val="Standardnpsmoodstavce"/>
    <w:rsid w:val="0021614D"/>
  </w:style>
  <w:style w:type="character" w:customStyle="1" w:styleId="Nadpis5Char">
    <w:name w:val="Nadpis 5 Char"/>
    <w:basedOn w:val="Standardnpsmoodstavce"/>
    <w:link w:val="Nadpis5"/>
    <w:uiPriority w:val="9"/>
    <w:semiHidden/>
    <w:rsid w:val="7110F824"/>
    <w:rPr>
      <w:rFonts w:asciiTheme="majorHAnsi" w:eastAsiaTheme="majorEastAsia" w:hAnsiTheme="majorHAnsi" w:cstheme="majorBidi"/>
      <w:noProof w:val="0"/>
      <w:color w:val="17294B" w:themeColor="accent1" w:themeShade="BF"/>
      <w:sz w:val="24"/>
      <w:szCs w:val="24"/>
      <w:lang w:val="en-GB" w:eastAsia="en-US"/>
    </w:rPr>
  </w:style>
  <w:style w:type="paragraph" w:customStyle="1" w:styleId="paragraph">
    <w:name w:val="paragraph"/>
    <w:basedOn w:val="Normln"/>
    <w:rsid w:val="7110F824"/>
    <w:pPr>
      <w:spacing w:beforeAutospacing="1" w:afterAutospacing="1"/>
    </w:pPr>
    <w:rPr>
      <w:lang w:eastAsia="cs-CZ"/>
    </w:rPr>
  </w:style>
  <w:style w:type="character" w:styleId="Siln">
    <w:name w:val="Strong"/>
    <w:basedOn w:val="Standardnpsmoodstavce"/>
    <w:uiPriority w:val="22"/>
    <w:qFormat/>
    <w:rsid w:val="00B11155"/>
    <w:rPr>
      <w:b/>
      <w:bCs/>
    </w:rPr>
  </w:style>
  <w:style w:type="character" w:customStyle="1" w:styleId="eop">
    <w:name w:val="eop"/>
    <w:basedOn w:val="Standardnpsmoodstavce"/>
    <w:rsid w:val="00B11155"/>
  </w:style>
  <w:style w:type="character" w:styleId="Zdraznn">
    <w:name w:val="Emphasis"/>
    <w:basedOn w:val="Standardnpsmoodstavce"/>
    <w:uiPriority w:val="20"/>
    <w:qFormat/>
    <w:rsid w:val="00F81315"/>
    <w:rPr>
      <w:i/>
      <w:iCs/>
    </w:rPr>
  </w:style>
  <w:style w:type="paragraph" w:styleId="Nzev">
    <w:name w:val="Title"/>
    <w:basedOn w:val="Normln"/>
    <w:next w:val="Normln"/>
    <w:link w:val="NzevChar"/>
    <w:uiPriority w:val="10"/>
    <w:qFormat/>
    <w:rsid w:val="7110F824"/>
    <w:pPr>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7110F824"/>
    <w:rPr>
      <w:rFonts w:eastAsiaTheme="minorEastAsia"/>
      <w:color w:val="7C9598"/>
    </w:rPr>
  </w:style>
  <w:style w:type="paragraph" w:styleId="Citt">
    <w:name w:val="Quote"/>
    <w:basedOn w:val="Normln"/>
    <w:next w:val="Normln"/>
    <w:link w:val="CittChar"/>
    <w:uiPriority w:val="29"/>
    <w:qFormat/>
    <w:rsid w:val="7110F824"/>
    <w:pPr>
      <w:spacing w:before="200"/>
      <w:ind w:left="864" w:right="864"/>
      <w:jc w:val="center"/>
    </w:pPr>
    <w:rPr>
      <w:i/>
      <w:iCs/>
      <w:color w:val="698386"/>
    </w:rPr>
  </w:style>
  <w:style w:type="paragraph" w:styleId="Vrazncitt">
    <w:name w:val="Intense Quote"/>
    <w:basedOn w:val="Normln"/>
    <w:next w:val="Normln"/>
    <w:link w:val="VrazncittChar"/>
    <w:uiPriority w:val="30"/>
    <w:qFormat/>
    <w:rsid w:val="7110F824"/>
    <w:pPr>
      <w:spacing w:before="360" w:after="360"/>
      <w:ind w:left="864" w:right="864"/>
      <w:jc w:val="center"/>
    </w:pPr>
    <w:rPr>
      <w:i/>
      <w:iCs/>
      <w:color w:val="1F3765" w:themeColor="accent1"/>
    </w:rPr>
  </w:style>
  <w:style w:type="character" w:customStyle="1" w:styleId="Nadpis4Char">
    <w:name w:val="Nadpis 4 Char"/>
    <w:basedOn w:val="Standardnpsmoodstavce"/>
    <w:link w:val="Nadpis4"/>
    <w:uiPriority w:val="9"/>
    <w:rsid w:val="7110F824"/>
    <w:rPr>
      <w:rFonts w:asciiTheme="majorHAnsi" w:eastAsiaTheme="majorEastAsia" w:hAnsiTheme="majorHAnsi" w:cstheme="majorBidi"/>
      <w:i/>
      <w:iCs/>
      <w:noProof w:val="0"/>
      <w:color w:val="17294B" w:themeColor="accent1" w:themeShade="BF"/>
      <w:lang w:val="en-GB"/>
    </w:rPr>
  </w:style>
  <w:style w:type="character" w:customStyle="1" w:styleId="Nadpis7Char">
    <w:name w:val="Nadpis 7 Char"/>
    <w:basedOn w:val="Standardnpsmoodstavce"/>
    <w:link w:val="Nadpis7"/>
    <w:uiPriority w:val="9"/>
    <w:rsid w:val="7110F824"/>
    <w:rPr>
      <w:rFonts w:asciiTheme="majorHAnsi" w:eastAsiaTheme="majorEastAsia" w:hAnsiTheme="majorHAnsi" w:cstheme="majorBidi"/>
      <w:i/>
      <w:iCs/>
      <w:noProof w:val="0"/>
      <w:color w:val="0F1B32" w:themeColor="accent1" w:themeShade="80"/>
      <w:lang w:val="en-GB"/>
    </w:rPr>
  </w:style>
  <w:style w:type="character" w:customStyle="1" w:styleId="Nadpis8Char">
    <w:name w:val="Nadpis 8 Char"/>
    <w:basedOn w:val="Standardnpsmoodstavce"/>
    <w:link w:val="Nadpis8"/>
    <w:uiPriority w:val="9"/>
    <w:rsid w:val="7110F824"/>
    <w:rPr>
      <w:rFonts w:asciiTheme="majorHAnsi" w:eastAsiaTheme="majorEastAsia" w:hAnsiTheme="majorHAnsi" w:cstheme="majorBidi"/>
      <w:noProof w:val="0"/>
      <w:color w:val="5A6F72"/>
      <w:sz w:val="21"/>
      <w:szCs w:val="21"/>
      <w:lang w:val="en-GB"/>
    </w:rPr>
  </w:style>
  <w:style w:type="character" w:customStyle="1" w:styleId="Nadpis9Char">
    <w:name w:val="Nadpis 9 Char"/>
    <w:basedOn w:val="Standardnpsmoodstavce"/>
    <w:link w:val="Nadpis9"/>
    <w:uiPriority w:val="9"/>
    <w:rsid w:val="7110F824"/>
    <w:rPr>
      <w:rFonts w:asciiTheme="majorHAnsi" w:eastAsiaTheme="majorEastAsia" w:hAnsiTheme="majorHAnsi" w:cstheme="majorBidi"/>
      <w:i/>
      <w:iCs/>
      <w:noProof w:val="0"/>
      <w:color w:val="5A6F72"/>
      <w:sz w:val="21"/>
      <w:szCs w:val="21"/>
      <w:lang w:val="en-GB"/>
    </w:rPr>
  </w:style>
  <w:style w:type="character" w:customStyle="1" w:styleId="NzevChar">
    <w:name w:val="Název Char"/>
    <w:basedOn w:val="Standardnpsmoodstavce"/>
    <w:link w:val="Nzev"/>
    <w:uiPriority w:val="10"/>
    <w:rsid w:val="7110F824"/>
    <w:rPr>
      <w:rFonts w:asciiTheme="majorHAnsi" w:eastAsiaTheme="majorEastAsia" w:hAnsiTheme="majorHAnsi" w:cstheme="majorBidi"/>
      <w:noProof w:val="0"/>
      <w:sz w:val="56"/>
      <w:szCs w:val="56"/>
      <w:lang w:val="en-GB"/>
    </w:rPr>
  </w:style>
  <w:style w:type="character" w:customStyle="1" w:styleId="PodnadpisChar">
    <w:name w:val="Podnadpis Char"/>
    <w:basedOn w:val="Standardnpsmoodstavce"/>
    <w:link w:val="Podnadpis"/>
    <w:uiPriority w:val="11"/>
    <w:rsid w:val="7110F824"/>
    <w:rPr>
      <w:noProof w:val="0"/>
      <w:color w:val="7C9598"/>
      <w:lang w:val="en-GB"/>
    </w:rPr>
  </w:style>
  <w:style w:type="character" w:customStyle="1" w:styleId="CittChar">
    <w:name w:val="Citát Char"/>
    <w:basedOn w:val="Standardnpsmoodstavce"/>
    <w:link w:val="Citt"/>
    <w:uiPriority w:val="29"/>
    <w:rsid w:val="7110F824"/>
    <w:rPr>
      <w:i/>
      <w:iCs/>
      <w:noProof w:val="0"/>
      <w:color w:val="698386"/>
      <w:lang w:val="en-GB"/>
    </w:rPr>
  </w:style>
  <w:style w:type="character" w:customStyle="1" w:styleId="VrazncittChar">
    <w:name w:val="Výrazný citát Char"/>
    <w:basedOn w:val="Standardnpsmoodstavce"/>
    <w:link w:val="Vrazncitt"/>
    <w:uiPriority w:val="30"/>
    <w:rsid w:val="7110F824"/>
    <w:rPr>
      <w:i/>
      <w:iCs/>
      <w:noProof w:val="0"/>
      <w:color w:val="1F3765" w:themeColor="accent1"/>
      <w:lang w:val="en-GB"/>
    </w:rPr>
  </w:style>
  <w:style w:type="paragraph" w:styleId="Obsah1">
    <w:name w:val="toc 1"/>
    <w:basedOn w:val="Normln"/>
    <w:next w:val="Normln"/>
    <w:uiPriority w:val="39"/>
    <w:unhideWhenUsed/>
    <w:rsid w:val="7110F824"/>
    <w:pPr>
      <w:spacing w:after="100"/>
    </w:pPr>
  </w:style>
  <w:style w:type="paragraph" w:styleId="Obsah2">
    <w:name w:val="toc 2"/>
    <w:basedOn w:val="Normln"/>
    <w:next w:val="Normln"/>
    <w:uiPriority w:val="39"/>
    <w:unhideWhenUsed/>
    <w:rsid w:val="7110F824"/>
    <w:pPr>
      <w:spacing w:after="100"/>
      <w:ind w:left="220"/>
    </w:pPr>
  </w:style>
  <w:style w:type="paragraph" w:styleId="Obsah3">
    <w:name w:val="toc 3"/>
    <w:basedOn w:val="Normln"/>
    <w:next w:val="Normln"/>
    <w:uiPriority w:val="39"/>
    <w:unhideWhenUsed/>
    <w:rsid w:val="7110F824"/>
    <w:pPr>
      <w:spacing w:after="100"/>
      <w:ind w:left="440"/>
    </w:pPr>
  </w:style>
  <w:style w:type="paragraph" w:styleId="Obsah4">
    <w:name w:val="toc 4"/>
    <w:basedOn w:val="Normln"/>
    <w:next w:val="Normln"/>
    <w:uiPriority w:val="39"/>
    <w:unhideWhenUsed/>
    <w:rsid w:val="7110F824"/>
    <w:pPr>
      <w:spacing w:after="100"/>
      <w:ind w:left="660"/>
    </w:pPr>
  </w:style>
  <w:style w:type="paragraph" w:styleId="Obsah5">
    <w:name w:val="toc 5"/>
    <w:basedOn w:val="Normln"/>
    <w:next w:val="Normln"/>
    <w:uiPriority w:val="39"/>
    <w:unhideWhenUsed/>
    <w:rsid w:val="7110F824"/>
    <w:pPr>
      <w:spacing w:after="100"/>
      <w:ind w:left="880"/>
    </w:pPr>
  </w:style>
  <w:style w:type="paragraph" w:styleId="Obsah6">
    <w:name w:val="toc 6"/>
    <w:basedOn w:val="Normln"/>
    <w:next w:val="Normln"/>
    <w:uiPriority w:val="39"/>
    <w:unhideWhenUsed/>
    <w:rsid w:val="7110F824"/>
    <w:pPr>
      <w:spacing w:after="100"/>
      <w:ind w:left="1100"/>
    </w:pPr>
  </w:style>
  <w:style w:type="paragraph" w:styleId="Obsah7">
    <w:name w:val="toc 7"/>
    <w:basedOn w:val="Normln"/>
    <w:next w:val="Normln"/>
    <w:uiPriority w:val="39"/>
    <w:unhideWhenUsed/>
    <w:rsid w:val="7110F824"/>
    <w:pPr>
      <w:spacing w:after="100"/>
      <w:ind w:left="1320"/>
    </w:pPr>
  </w:style>
  <w:style w:type="paragraph" w:styleId="Obsah8">
    <w:name w:val="toc 8"/>
    <w:basedOn w:val="Normln"/>
    <w:next w:val="Normln"/>
    <w:uiPriority w:val="39"/>
    <w:unhideWhenUsed/>
    <w:rsid w:val="7110F824"/>
    <w:pPr>
      <w:spacing w:after="100"/>
      <w:ind w:left="1540"/>
    </w:pPr>
  </w:style>
  <w:style w:type="paragraph" w:styleId="Obsah9">
    <w:name w:val="toc 9"/>
    <w:basedOn w:val="Normln"/>
    <w:next w:val="Normln"/>
    <w:uiPriority w:val="39"/>
    <w:unhideWhenUsed/>
    <w:rsid w:val="7110F824"/>
    <w:pPr>
      <w:spacing w:after="100"/>
      <w:ind w:left="1760"/>
    </w:pPr>
  </w:style>
  <w:style w:type="paragraph" w:styleId="Textvysvtlivek">
    <w:name w:val="endnote text"/>
    <w:basedOn w:val="Normln"/>
    <w:link w:val="TextvysvtlivekChar"/>
    <w:uiPriority w:val="99"/>
    <w:semiHidden/>
    <w:unhideWhenUsed/>
    <w:rsid w:val="7110F824"/>
    <w:rPr>
      <w:sz w:val="20"/>
      <w:szCs w:val="20"/>
    </w:rPr>
  </w:style>
  <w:style w:type="character" w:customStyle="1" w:styleId="TextvysvtlivekChar">
    <w:name w:val="Text vysvětlivek Char"/>
    <w:basedOn w:val="Standardnpsmoodstavce"/>
    <w:link w:val="Textvysvtlivek"/>
    <w:uiPriority w:val="99"/>
    <w:semiHidden/>
    <w:rsid w:val="7110F824"/>
    <w:rPr>
      <w:noProof w:val="0"/>
      <w:sz w:val="20"/>
      <w:szCs w:val="20"/>
      <w:lang w:val="en-GB"/>
    </w:rPr>
  </w:style>
  <w:style w:type="character" w:customStyle="1" w:styleId="Nevyeenzmnka1">
    <w:name w:val="Nevyřešená zmínka1"/>
    <w:basedOn w:val="Standardnpsmoodstavce"/>
    <w:uiPriority w:val="99"/>
    <w:semiHidden/>
    <w:unhideWhenUsed/>
    <w:rsid w:val="0037184B"/>
    <w:rPr>
      <w:color w:val="605E5C"/>
      <w:shd w:val="clear" w:color="auto" w:fill="E1DFDD"/>
    </w:rPr>
  </w:style>
  <w:style w:type="character" w:styleId="Odkaznavysvtlivky">
    <w:name w:val="endnote reference"/>
    <w:basedOn w:val="Standardnpsmoodstavce"/>
    <w:uiPriority w:val="99"/>
    <w:semiHidden/>
    <w:unhideWhenUsed/>
    <w:rsid w:val="008F5860"/>
    <w:rPr>
      <w:vertAlign w:val="superscript"/>
    </w:rPr>
  </w:style>
  <w:style w:type="character" w:styleId="Nevyeenzmnka">
    <w:name w:val="Unresolved Mention"/>
    <w:basedOn w:val="Standardnpsmoodstavce"/>
    <w:uiPriority w:val="99"/>
    <w:semiHidden/>
    <w:unhideWhenUsed/>
    <w:rsid w:val="00C81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914">
      <w:bodyDiv w:val="1"/>
      <w:marLeft w:val="0"/>
      <w:marRight w:val="0"/>
      <w:marTop w:val="0"/>
      <w:marBottom w:val="0"/>
      <w:divBdr>
        <w:top w:val="none" w:sz="0" w:space="0" w:color="auto"/>
        <w:left w:val="none" w:sz="0" w:space="0" w:color="auto"/>
        <w:bottom w:val="none" w:sz="0" w:space="0" w:color="auto"/>
        <w:right w:val="none" w:sz="0" w:space="0" w:color="auto"/>
      </w:divBdr>
    </w:div>
    <w:div w:id="33702754">
      <w:bodyDiv w:val="1"/>
      <w:marLeft w:val="0"/>
      <w:marRight w:val="0"/>
      <w:marTop w:val="0"/>
      <w:marBottom w:val="0"/>
      <w:divBdr>
        <w:top w:val="none" w:sz="0" w:space="0" w:color="auto"/>
        <w:left w:val="none" w:sz="0" w:space="0" w:color="auto"/>
        <w:bottom w:val="none" w:sz="0" w:space="0" w:color="auto"/>
        <w:right w:val="none" w:sz="0" w:space="0" w:color="auto"/>
      </w:divBdr>
    </w:div>
    <w:div w:id="64568156">
      <w:bodyDiv w:val="1"/>
      <w:marLeft w:val="0"/>
      <w:marRight w:val="0"/>
      <w:marTop w:val="0"/>
      <w:marBottom w:val="0"/>
      <w:divBdr>
        <w:top w:val="none" w:sz="0" w:space="0" w:color="auto"/>
        <w:left w:val="none" w:sz="0" w:space="0" w:color="auto"/>
        <w:bottom w:val="none" w:sz="0" w:space="0" w:color="auto"/>
        <w:right w:val="none" w:sz="0" w:space="0" w:color="auto"/>
      </w:divBdr>
    </w:div>
    <w:div w:id="65614840">
      <w:bodyDiv w:val="1"/>
      <w:marLeft w:val="0"/>
      <w:marRight w:val="0"/>
      <w:marTop w:val="0"/>
      <w:marBottom w:val="0"/>
      <w:divBdr>
        <w:top w:val="none" w:sz="0" w:space="0" w:color="auto"/>
        <w:left w:val="none" w:sz="0" w:space="0" w:color="auto"/>
        <w:bottom w:val="none" w:sz="0" w:space="0" w:color="auto"/>
        <w:right w:val="none" w:sz="0" w:space="0" w:color="auto"/>
      </w:divBdr>
    </w:div>
    <w:div w:id="84620555">
      <w:bodyDiv w:val="1"/>
      <w:marLeft w:val="0"/>
      <w:marRight w:val="0"/>
      <w:marTop w:val="0"/>
      <w:marBottom w:val="0"/>
      <w:divBdr>
        <w:top w:val="none" w:sz="0" w:space="0" w:color="auto"/>
        <w:left w:val="none" w:sz="0" w:space="0" w:color="auto"/>
        <w:bottom w:val="none" w:sz="0" w:space="0" w:color="auto"/>
        <w:right w:val="none" w:sz="0" w:space="0" w:color="auto"/>
      </w:divBdr>
    </w:div>
    <w:div w:id="90516716">
      <w:bodyDiv w:val="1"/>
      <w:marLeft w:val="0"/>
      <w:marRight w:val="0"/>
      <w:marTop w:val="0"/>
      <w:marBottom w:val="0"/>
      <w:divBdr>
        <w:top w:val="none" w:sz="0" w:space="0" w:color="auto"/>
        <w:left w:val="none" w:sz="0" w:space="0" w:color="auto"/>
        <w:bottom w:val="none" w:sz="0" w:space="0" w:color="auto"/>
        <w:right w:val="none" w:sz="0" w:space="0" w:color="auto"/>
      </w:divBdr>
    </w:div>
    <w:div w:id="100731838">
      <w:bodyDiv w:val="1"/>
      <w:marLeft w:val="0"/>
      <w:marRight w:val="0"/>
      <w:marTop w:val="0"/>
      <w:marBottom w:val="0"/>
      <w:divBdr>
        <w:top w:val="none" w:sz="0" w:space="0" w:color="auto"/>
        <w:left w:val="none" w:sz="0" w:space="0" w:color="auto"/>
        <w:bottom w:val="none" w:sz="0" w:space="0" w:color="auto"/>
        <w:right w:val="none" w:sz="0" w:space="0" w:color="auto"/>
      </w:divBdr>
    </w:div>
    <w:div w:id="113793833">
      <w:bodyDiv w:val="1"/>
      <w:marLeft w:val="0"/>
      <w:marRight w:val="0"/>
      <w:marTop w:val="0"/>
      <w:marBottom w:val="0"/>
      <w:divBdr>
        <w:top w:val="none" w:sz="0" w:space="0" w:color="auto"/>
        <w:left w:val="none" w:sz="0" w:space="0" w:color="auto"/>
        <w:bottom w:val="none" w:sz="0" w:space="0" w:color="auto"/>
        <w:right w:val="none" w:sz="0" w:space="0" w:color="auto"/>
      </w:divBdr>
    </w:div>
    <w:div w:id="117340737">
      <w:bodyDiv w:val="1"/>
      <w:marLeft w:val="0"/>
      <w:marRight w:val="0"/>
      <w:marTop w:val="0"/>
      <w:marBottom w:val="0"/>
      <w:divBdr>
        <w:top w:val="none" w:sz="0" w:space="0" w:color="auto"/>
        <w:left w:val="none" w:sz="0" w:space="0" w:color="auto"/>
        <w:bottom w:val="none" w:sz="0" w:space="0" w:color="auto"/>
        <w:right w:val="none" w:sz="0" w:space="0" w:color="auto"/>
      </w:divBdr>
      <w:divsChild>
        <w:div w:id="182133541">
          <w:marLeft w:val="0"/>
          <w:marRight w:val="0"/>
          <w:marTop w:val="0"/>
          <w:marBottom w:val="0"/>
          <w:divBdr>
            <w:top w:val="none" w:sz="0" w:space="0" w:color="auto"/>
            <w:left w:val="none" w:sz="0" w:space="0" w:color="auto"/>
            <w:bottom w:val="none" w:sz="0" w:space="0" w:color="auto"/>
            <w:right w:val="none" w:sz="0" w:space="0" w:color="auto"/>
          </w:divBdr>
        </w:div>
        <w:div w:id="233593742">
          <w:marLeft w:val="0"/>
          <w:marRight w:val="0"/>
          <w:marTop w:val="0"/>
          <w:marBottom w:val="0"/>
          <w:divBdr>
            <w:top w:val="none" w:sz="0" w:space="0" w:color="auto"/>
            <w:left w:val="none" w:sz="0" w:space="0" w:color="auto"/>
            <w:bottom w:val="none" w:sz="0" w:space="0" w:color="auto"/>
            <w:right w:val="none" w:sz="0" w:space="0" w:color="auto"/>
          </w:divBdr>
        </w:div>
        <w:div w:id="769204310">
          <w:marLeft w:val="0"/>
          <w:marRight w:val="0"/>
          <w:marTop w:val="0"/>
          <w:marBottom w:val="0"/>
          <w:divBdr>
            <w:top w:val="none" w:sz="0" w:space="0" w:color="auto"/>
            <w:left w:val="none" w:sz="0" w:space="0" w:color="auto"/>
            <w:bottom w:val="none" w:sz="0" w:space="0" w:color="auto"/>
            <w:right w:val="none" w:sz="0" w:space="0" w:color="auto"/>
          </w:divBdr>
        </w:div>
        <w:div w:id="1088385237">
          <w:marLeft w:val="0"/>
          <w:marRight w:val="0"/>
          <w:marTop w:val="0"/>
          <w:marBottom w:val="0"/>
          <w:divBdr>
            <w:top w:val="none" w:sz="0" w:space="0" w:color="auto"/>
            <w:left w:val="none" w:sz="0" w:space="0" w:color="auto"/>
            <w:bottom w:val="none" w:sz="0" w:space="0" w:color="auto"/>
            <w:right w:val="none" w:sz="0" w:space="0" w:color="auto"/>
          </w:divBdr>
        </w:div>
        <w:div w:id="1199900183">
          <w:marLeft w:val="0"/>
          <w:marRight w:val="0"/>
          <w:marTop w:val="0"/>
          <w:marBottom w:val="0"/>
          <w:divBdr>
            <w:top w:val="none" w:sz="0" w:space="0" w:color="auto"/>
            <w:left w:val="none" w:sz="0" w:space="0" w:color="auto"/>
            <w:bottom w:val="none" w:sz="0" w:space="0" w:color="auto"/>
            <w:right w:val="none" w:sz="0" w:space="0" w:color="auto"/>
          </w:divBdr>
        </w:div>
        <w:div w:id="1512643427">
          <w:marLeft w:val="0"/>
          <w:marRight w:val="0"/>
          <w:marTop w:val="0"/>
          <w:marBottom w:val="0"/>
          <w:divBdr>
            <w:top w:val="none" w:sz="0" w:space="0" w:color="auto"/>
            <w:left w:val="none" w:sz="0" w:space="0" w:color="auto"/>
            <w:bottom w:val="none" w:sz="0" w:space="0" w:color="auto"/>
            <w:right w:val="none" w:sz="0" w:space="0" w:color="auto"/>
          </w:divBdr>
        </w:div>
      </w:divsChild>
    </w:div>
    <w:div w:id="153616879">
      <w:bodyDiv w:val="1"/>
      <w:marLeft w:val="0"/>
      <w:marRight w:val="0"/>
      <w:marTop w:val="0"/>
      <w:marBottom w:val="0"/>
      <w:divBdr>
        <w:top w:val="none" w:sz="0" w:space="0" w:color="auto"/>
        <w:left w:val="none" w:sz="0" w:space="0" w:color="auto"/>
        <w:bottom w:val="none" w:sz="0" w:space="0" w:color="auto"/>
        <w:right w:val="none" w:sz="0" w:space="0" w:color="auto"/>
      </w:divBdr>
    </w:div>
    <w:div w:id="179439586">
      <w:bodyDiv w:val="1"/>
      <w:marLeft w:val="0"/>
      <w:marRight w:val="0"/>
      <w:marTop w:val="0"/>
      <w:marBottom w:val="0"/>
      <w:divBdr>
        <w:top w:val="none" w:sz="0" w:space="0" w:color="auto"/>
        <w:left w:val="none" w:sz="0" w:space="0" w:color="auto"/>
        <w:bottom w:val="none" w:sz="0" w:space="0" w:color="auto"/>
        <w:right w:val="none" w:sz="0" w:space="0" w:color="auto"/>
      </w:divBdr>
    </w:div>
    <w:div w:id="184489513">
      <w:bodyDiv w:val="1"/>
      <w:marLeft w:val="0"/>
      <w:marRight w:val="0"/>
      <w:marTop w:val="0"/>
      <w:marBottom w:val="0"/>
      <w:divBdr>
        <w:top w:val="none" w:sz="0" w:space="0" w:color="auto"/>
        <w:left w:val="none" w:sz="0" w:space="0" w:color="auto"/>
        <w:bottom w:val="none" w:sz="0" w:space="0" w:color="auto"/>
        <w:right w:val="none" w:sz="0" w:space="0" w:color="auto"/>
      </w:divBdr>
    </w:div>
    <w:div w:id="213856409">
      <w:bodyDiv w:val="1"/>
      <w:marLeft w:val="0"/>
      <w:marRight w:val="0"/>
      <w:marTop w:val="0"/>
      <w:marBottom w:val="0"/>
      <w:divBdr>
        <w:top w:val="none" w:sz="0" w:space="0" w:color="auto"/>
        <w:left w:val="none" w:sz="0" w:space="0" w:color="auto"/>
        <w:bottom w:val="none" w:sz="0" w:space="0" w:color="auto"/>
        <w:right w:val="none" w:sz="0" w:space="0" w:color="auto"/>
      </w:divBdr>
    </w:div>
    <w:div w:id="247420640">
      <w:bodyDiv w:val="1"/>
      <w:marLeft w:val="0"/>
      <w:marRight w:val="0"/>
      <w:marTop w:val="0"/>
      <w:marBottom w:val="0"/>
      <w:divBdr>
        <w:top w:val="none" w:sz="0" w:space="0" w:color="auto"/>
        <w:left w:val="none" w:sz="0" w:space="0" w:color="auto"/>
        <w:bottom w:val="none" w:sz="0" w:space="0" w:color="auto"/>
        <w:right w:val="none" w:sz="0" w:space="0" w:color="auto"/>
      </w:divBdr>
    </w:div>
    <w:div w:id="251091081">
      <w:bodyDiv w:val="1"/>
      <w:marLeft w:val="0"/>
      <w:marRight w:val="0"/>
      <w:marTop w:val="0"/>
      <w:marBottom w:val="0"/>
      <w:divBdr>
        <w:top w:val="none" w:sz="0" w:space="0" w:color="auto"/>
        <w:left w:val="none" w:sz="0" w:space="0" w:color="auto"/>
        <w:bottom w:val="none" w:sz="0" w:space="0" w:color="auto"/>
        <w:right w:val="none" w:sz="0" w:space="0" w:color="auto"/>
      </w:divBdr>
    </w:div>
    <w:div w:id="302079572">
      <w:bodyDiv w:val="1"/>
      <w:marLeft w:val="0"/>
      <w:marRight w:val="0"/>
      <w:marTop w:val="0"/>
      <w:marBottom w:val="0"/>
      <w:divBdr>
        <w:top w:val="none" w:sz="0" w:space="0" w:color="auto"/>
        <w:left w:val="none" w:sz="0" w:space="0" w:color="auto"/>
        <w:bottom w:val="none" w:sz="0" w:space="0" w:color="auto"/>
        <w:right w:val="none" w:sz="0" w:space="0" w:color="auto"/>
      </w:divBdr>
    </w:div>
    <w:div w:id="330717378">
      <w:bodyDiv w:val="1"/>
      <w:marLeft w:val="0"/>
      <w:marRight w:val="0"/>
      <w:marTop w:val="0"/>
      <w:marBottom w:val="0"/>
      <w:divBdr>
        <w:top w:val="none" w:sz="0" w:space="0" w:color="auto"/>
        <w:left w:val="none" w:sz="0" w:space="0" w:color="auto"/>
        <w:bottom w:val="none" w:sz="0" w:space="0" w:color="auto"/>
        <w:right w:val="none" w:sz="0" w:space="0" w:color="auto"/>
      </w:divBdr>
    </w:div>
    <w:div w:id="332150110">
      <w:bodyDiv w:val="1"/>
      <w:marLeft w:val="0"/>
      <w:marRight w:val="0"/>
      <w:marTop w:val="0"/>
      <w:marBottom w:val="0"/>
      <w:divBdr>
        <w:top w:val="none" w:sz="0" w:space="0" w:color="auto"/>
        <w:left w:val="none" w:sz="0" w:space="0" w:color="auto"/>
        <w:bottom w:val="none" w:sz="0" w:space="0" w:color="auto"/>
        <w:right w:val="none" w:sz="0" w:space="0" w:color="auto"/>
      </w:divBdr>
    </w:div>
    <w:div w:id="371424289">
      <w:bodyDiv w:val="1"/>
      <w:marLeft w:val="0"/>
      <w:marRight w:val="0"/>
      <w:marTop w:val="0"/>
      <w:marBottom w:val="0"/>
      <w:divBdr>
        <w:top w:val="none" w:sz="0" w:space="0" w:color="auto"/>
        <w:left w:val="none" w:sz="0" w:space="0" w:color="auto"/>
        <w:bottom w:val="none" w:sz="0" w:space="0" w:color="auto"/>
        <w:right w:val="none" w:sz="0" w:space="0" w:color="auto"/>
      </w:divBdr>
    </w:div>
    <w:div w:id="383913245">
      <w:bodyDiv w:val="1"/>
      <w:marLeft w:val="0"/>
      <w:marRight w:val="0"/>
      <w:marTop w:val="0"/>
      <w:marBottom w:val="0"/>
      <w:divBdr>
        <w:top w:val="none" w:sz="0" w:space="0" w:color="auto"/>
        <w:left w:val="none" w:sz="0" w:space="0" w:color="auto"/>
        <w:bottom w:val="none" w:sz="0" w:space="0" w:color="auto"/>
        <w:right w:val="none" w:sz="0" w:space="0" w:color="auto"/>
      </w:divBdr>
    </w:div>
    <w:div w:id="435054297">
      <w:bodyDiv w:val="1"/>
      <w:marLeft w:val="0"/>
      <w:marRight w:val="0"/>
      <w:marTop w:val="0"/>
      <w:marBottom w:val="0"/>
      <w:divBdr>
        <w:top w:val="none" w:sz="0" w:space="0" w:color="auto"/>
        <w:left w:val="none" w:sz="0" w:space="0" w:color="auto"/>
        <w:bottom w:val="none" w:sz="0" w:space="0" w:color="auto"/>
        <w:right w:val="none" w:sz="0" w:space="0" w:color="auto"/>
      </w:divBdr>
    </w:div>
    <w:div w:id="465313883">
      <w:bodyDiv w:val="1"/>
      <w:marLeft w:val="0"/>
      <w:marRight w:val="0"/>
      <w:marTop w:val="0"/>
      <w:marBottom w:val="0"/>
      <w:divBdr>
        <w:top w:val="none" w:sz="0" w:space="0" w:color="auto"/>
        <w:left w:val="none" w:sz="0" w:space="0" w:color="auto"/>
        <w:bottom w:val="none" w:sz="0" w:space="0" w:color="auto"/>
        <w:right w:val="none" w:sz="0" w:space="0" w:color="auto"/>
      </w:divBdr>
    </w:div>
    <w:div w:id="518810601">
      <w:bodyDiv w:val="1"/>
      <w:marLeft w:val="0"/>
      <w:marRight w:val="0"/>
      <w:marTop w:val="0"/>
      <w:marBottom w:val="0"/>
      <w:divBdr>
        <w:top w:val="none" w:sz="0" w:space="0" w:color="auto"/>
        <w:left w:val="none" w:sz="0" w:space="0" w:color="auto"/>
        <w:bottom w:val="none" w:sz="0" w:space="0" w:color="auto"/>
        <w:right w:val="none" w:sz="0" w:space="0" w:color="auto"/>
      </w:divBdr>
    </w:div>
    <w:div w:id="527836264">
      <w:bodyDiv w:val="1"/>
      <w:marLeft w:val="0"/>
      <w:marRight w:val="0"/>
      <w:marTop w:val="0"/>
      <w:marBottom w:val="0"/>
      <w:divBdr>
        <w:top w:val="none" w:sz="0" w:space="0" w:color="auto"/>
        <w:left w:val="none" w:sz="0" w:space="0" w:color="auto"/>
        <w:bottom w:val="none" w:sz="0" w:space="0" w:color="auto"/>
        <w:right w:val="none" w:sz="0" w:space="0" w:color="auto"/>
      </w:divBdr>
    </w:div>
    <w:div w:id="537552000">
      <w:bodyDiv w:val="1"/>
      <w:marLeft w:val="0"/>
      <w:marRight w:val="0"/>
      <w:marTop w:val="0"/>
      <w:marBottom w:val="0"/>
      <w:divBdr>
        <w:top w:val="none" w:sz="0" w:space="0" w:color="auto"/>
        <w:left w:val="none" w:sz="0" w:space="0" w:color="auto"/>
        <w:bottom w:val="none" w:sz="0" w:space="0" w:color="auto"/>
        <w:right w:val="none" w:sz="0" w:space="0" w:color="auto"/>
      </w:divBdr>
    </w:div>
    <w:div w:id="549651635">
      <w:bodyDiv w:val="1"/>
      <w:marLeft w:val="0"/>
      <w:marRight w:val="0"/>
      <w:marTop w:val="0"/>
      <w:marBottom w:val="0"/>
      <w:divBdr>
        <w:top w:val="none" w:sz="0" w:space="0" w:color="auto"/>
        <w:left w:val="none" w:sz="0" w:space="0" w:color="auto"/>
        <w:bottom w:val="none" w:sz="0" w:space="0" w:color="auto"/>
        <w:right w:val="none" w:sz="0" w:space="0" w:color="auto"/>
      </w:divBdr>
    </w:div>
    <w:div w:id="568031160">
      <w:bodyDiv w:val="1"/>
      <w:marLeft w:val="0"/>
      <w:marRight w:val="0"/>
      <w:marTop w:val="0"/>
      <w:marBottom w:val="0"/>
      <w:divBdr>
        <w:top w:val="none" w:sz="0" w:space="0" w:color="auto"/>
        <w:left w:val="none" w:sz="0" w:space="0" w:color="auto"/>
        <w:bottom w:val="none" w:sz="0" w:space="0" w:color="auto"/>
        <w:right w:val="none" w:sz="0" w:space="0" w:color="auto"/>
      </w:divBdr>
    </w:div>
    <w:div w:id="605385178">
      <w:bodyDiv w:val="1"/>
      <w:marLeft w:val="0"/>
      <w:marRight w:val="0"/>
      <w:marTop w:val="0"/>
      <w:marBottom w:val="0"/>
      <w:divBdr>
        <w:top w:val="none" w:sz="0" w:space="0" w:color="auto"/>
        <w:left w:val="none" w:sz="0" w:space="0" w:color="auto"/>
        <w:bottom w:val="none" w:sz="0" w:space="0" w:color="auto"/>
        <w:right w:val="none" w:sz="0" w:space="0" w:color="auto"/>
      </w:divBdr>
    </w:div>
    <w:div w:id="673921844">
      <w:bodyDiv w:val="1"/>
      <w:marLeft w:val="0"/>
      <w:marRight w:val="0"/>
      <w:marTop w:val="0"/>
      <w:marBottom w:val="0"/>
      <w:divBdr>
        <w:top w:val="none" w:sz="0" w:space="0" w:color="auto"/>
        <w:left w:val="none" w:sz="0" w:space="0" w:color="auto"/>
        <w:bottom w:val="none" w:sz="0" w:space="0" w:color="auto"/>
        <w:right w:val="none" w:sz="0" w:space="0" w:color="auto"/>
      </w:divBdr>
    </w:div>
    <w:div w:id="687490737">
      <w:bodyDiv w:val="1"/>
      <w:marLeft w:val="0"/>
      <w:marRight w:val="0"/>
      <w:marTop w:val="0"/>
      <w:marBottom w:val="0"/>
      <w:divBdr>
        <w:top w:val="none" w:sz="0" w:space="0" w:color="auto"/>
        <w:left w:val="none" w:sz="0" w:space="0" w:color="auto"/>
        <w:bottom w:val="none" w:sz="0" w:space="0" w:color="auto"/>
        <w:right w:val="none" w:sz="0" w:space="0" w:color="auto"/>
      </w:divBdr>
      <w:divsChild>
        <w:div w:id="502863094">
          <w:marLeft w:val="0"/>
          <w:marRight w:val="0"/>
          <w:marTop w:val="0"/>
          <w:marBottom w:val="0"/>
          <w:divBdr>
            <w:top w:val="none" w:sz="0" w:space="0" w:color="auto"/>
            <w:left w:val="none" w:sz="0" w:space="0" w:color="auto"/>
            <w:bottom w:val="none" w:sz="0" w:space="0" w:color="auto"/>
            <w:right w:val="none" w:sz="0" w:space="0" w:color="auto"/>
          </w:divBdr>
          <w:divsChild>
            <w:div w:id="881940503">
              <w:marLeft w:val="0"/>
              <w:marRight w:val="0"/>
              <w:marTop w:val="0"/>
              <w:marBottom w:val="0"/>
              <w:divBdr>
                <w:top w:val="none" w:sz="0" w:space="0" w:color="auto"/>
                <w:left w:val="none" w:sz="0" w:space="0" w:color="auto"/>
                <w:bottom w:val="none" w:sz="0" w:space="0" w:color="auto"/>
                <w:right w:val="none" w:sz="0" w:space="0" w:color="auto"/>
              </w:divBdr>
              <w:divsChild>
                <w:div w:id="1627658526">
                  <w:marLeft w:val="0"/>
                  <w:marRight w:val="0"/>
                  <w:marTop w:val="0"/>
                  <w:marBottom w:val="0"/>
                  <w:divBdr>
                    <w:top w:val="none" w:sz="0" w:space="0" w:color="auto"/>
                    <w:left w:val="none" w:sz="0" w:space="0" w:color="auto"/>
                    <w:bottom w:val="none" w:sz="0" w:space="0" w:color="auto"/>
                    <w:right w:val="none" w:sz="0" w:space="0" w:color="auto"/>
                  </w:divBdr>
                  <w:divsChild>
                    <w:div w:id="1317415154">
                      <w:marLeft w:val="0"/>
                      <w:marRight w:val="0"/>
                      <w:marTop w:val="0"/>
                      <w:marBottom w:val="0"/>
                      <w:divBdr>
                        <w:top w:val="none" w:sz="0" w:space="0" w:color="auto"/>
                        <w:left w:val="none" w:sz="0" w:space="0" w:color="auto"/>
                        <w:bottom w:val="none" w:sz="0" w:space="0" w:color="auto"/>
                        <w:right w:val="none" w:sz="0" w:space="0" w:color="auto"/>
                      </w:divBdr>
                      <w:divsChild>
                        <w:div w:id="247859084">
                          <w:marLeft w:val="0"/>
                          <w:marRight w:val="0"/>
                          <w:marTop w:val="0"/>
                          <w:marBottom w:val="0"/>
                          <w:divBdr>
                            <w:top w:val="none" w:sz="0" w:space="0" w:color="auto"/>
                            <w:left w:val="none" w:sz="0" w:space="0" w:color="auto"/>
                            <w:bottom w:val="none" w:sz="0" w:space="0" w:color="auto"/>
                            <w:right w:val="none" w:sz="0" w:space="0" w:color="auto"/>
                          </w:divBdr>
                        </w:div>
                        <w:div w:id="316350942">
                          <w:marLeft w:val="0"/>
                          <w:marRight w:val="0"/>
                          <w:marTop w:val="0"/>
                          <w:marBottom w:val="0"/>
                          <w:divBdr>
                            <w:top w:val="none" w:sz="0" w:space="0" w:color="auto"/>
                            <w:left w:val="none" w:sz="0" w:space="0" w:color="auto"/>
                            <w:bottom w:val="none" w:sz="0" w:space="0" w:color="auto"/>
                            <w:right w:val="none" w:sz="0" w:space="0" w:color="auto"/>
                          </w:divBdr>
                        </w:div>
                        <w:div w:id="421494091">
                          <w:marLeft w:val="0"/>
                          <w:marRight w:val="0"/>
                          <w:marTop w:val="0"/>
                          <w:marBottom w:val="0"/>
                          <w:divBdr>
                            <w:top w:val="none" w:sz="0" w:space="0" w:color="auto"/>
                            <w:left w:val="none" w:sz="0" w:space="0" w:color="auto"/>
                            <w:bottom w:val="none" w:sz="0" w:space="0" w:color="auto"/>
                            <w:right w:val="none" w:sz="0" w:space="0" w:color="auto"/>
                          </w:divBdr>
                        </w:div>
                        <w:div w:id="964501867">
                          <w:marLeft w:val="0"/>
                          <w:marRight w:val="0"/>
                          <w:marTop w:val="0"/>
                          <w:marBottom w:val="0"/>
                          <w:divBdr>
                            <w:top w:val="none" w:sz="0" w:space="0" w:color="auto"/>
                            <w:left w:val="none" w:sz="0" w:space="0" w:color="auto"/>
                            <w:bottom w:val="none" w:sz="0" w:space="0" w:color="auto"/>
                            <w:right w:val="none" w:sz="0" w:space="0" w:color="auto"/>
                          </w:divBdr>
                        </w:div>
                        <w:div w:id="1038820649">
                          <w:marLeft w:val="0"/>
                          <w:marRight w:val="0"/>
                          <w:marTop w:val="0"/>
                          <w:marBottom w:val="0"/>
                          <w:divBdr>
                            <w:top w:val="none" w:sz="0" w:space="0" w:color="auto"/>
                            <w:left w:val="none" w:sz="0" w:space="0" w:color="auto"/>
                            <w:bottom w:val="none" w:sz="0" w:space="0" w:color="auto"/>
                            <w:right w:val="none" w:sz="0" w:space="0" w:color="auto"/>
                          </w:divBdr>
                        </w:div>
                        <w:div w:id="1092626708">
                          <w:marLeft w:val="0"/>
                          <w:marRight w:val="0"/>
                          <w:marTop w:val="0"/>
                          <w:marBottom w:val="0"/>
                          <w:divBdr>
                            <w:top w:val="none" w:sz="0" w:space="0" w:color="auto"/>
                            <w:left w:val="none" w:sz="0" w:space="0" w:color="auto"/>
                            <w:bottom w:val="none" w:sz="0" w:space="0" w:color="auto"/>
                            <w:right w:val="none" w:sz="0" w:space="0" w:color="auto"/>
                          </w:divBdr>
                        </w:div>
                        <w:div w:id="1254507181">
                          <w:marLeft w:val="0"/>
                          <w:marRight w:val="0"/>
                          <w:marTop w:val="0"/>
                          <w:marBottom w:val="0"/>
                          <w:divBdr>
                            <w:top w:val="none" w:sz="0" w:space="0" w:color="auto"/>
                            <w:left w:val="none" w:sz="0" w:space="0" w:color="auto"/>
                            <w:bottom w:val="none" w:sz="0" w:space="0" w:color="auto"/>
                            <w:right w:val="none" w:sz="0" w:space="0" w:color="auto"/>
                          </w:divBdr>
                          <w:divsChild>
                            <w:div w:id="567686386">
                              <w:marLeft w:val="0"/>
                              <w:marRight w:val="0"/>
                              <w:marTop w:val="0"/>
                              <w:marBottom w:val="0"/>
                              <w:divBdr>
                                <w:top w:val="none" w:sz="0" w:space="0" w:color="auto"/>
                                <w:left w:val="none" w:sz="0" w:space="0" w:color="auto"/>
                                <w:bottom w:val="none" w:sz="0" w:space="0" w:color="auto"/>
                                <w:right w:val="none" w:sz="0" w:space="0" w:color="auto"/>
                              </w:divBdr>
                            </w:div>
                            <w:div w:id="20951235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9374699">
                          <w:marLeft w:val="0"/>
                          <w:marRight w:val="0"/>
                          <w:marTop w:val="0"/>
                          <w:marBottom w:val="0"/>
                          <w:divBdr>
                            <w:top w:val="none" w:sz="0" w:space="0" w:color="auto"/>
                            <w:left w:val="none" w:sz="0" w:space="0" w:color="auto"/>
                            <w:bottom w:val="none" w:sz="0" w:space="0" w:color="auto"/>
                            <w:right w:val="none" w:sz="0" w:space="0" w:color="auto"/>
                          </w:divBdr>
                        </w:div>
                        <w:div w:id="1402410097">
                          <w:marLeft w:val="0"/>
                          <w:marRight w:val="0"/>
                          <w:marTop w:val="0"/>
                          <w:marBottom w:val="0"/>
                          <w:divBdr>
                            <w:top w:val="none" w:sz="0" w:space="0" w:color="auto"/>
                            <w:left w:val="none" w:sz="0" w:space="0" w:color="auto"/>
                            <w:bottom w:val="none" w:sz="0" w:space="0" w:color="auto"/>
                            <w:right w:val="none" w:sz="0" w:space="0" w:color="auto"/>
                          </w:divBdr>
                        </w:div>
                        <w:div w:id="1571891332">
                          <w:marLeft w:val="0"/>
                          <w:marRight w:val="0"/>
                          <w:marTop w:val="0"/>
                          <w:marBottom w:val="0"/>
                          <w:divBdr>
                            <w:top w:val="none" w:sz="0" w:space="0" w:color="auto"/>
                            <w:left w:val="none" w:sz="0" w:space="0" w:color="auto"/>
                            <w:bottom w:val="none" w:sz="0" w:space="0" w:color="auto"/>
                            <w:right w:val="none" w:sz="0" w:space="0" w:color="auto"/>
                          </w:divBdr>
                          <w:divsChild>
                            <w:div w:id="1642692599">
                              <w:marLeft w:val="0"/>
                              <w:marRight w:val="0"/>
                              <w:marTop w:val="0"/>
                              <w:marBottom w:val="0"/>
                              <w:divBdr>
                                <w:top w:val="none" w:sz="0" w:space="0" w:color="auto"/>
                                <w:left w:val="none" w:sz="0" w:space="0" w:color="auto"/>
                                <w:bottom w:val="none" w:sz="0" w:space="0" w:color="auto"/>
                                <w:right w:val="none" w:sz="0" w:space="0" w:color="auto"/>
                              </w:divBdr>
                              <w:divsChild>
                                <w:div w:id="1569151325">
                                  <w:marLeft w:val="0"/>
                                  <w:marRight w:val="0"/>
                                  <w:marTop w:val="0"/>
                                  <w:marBottom w:val="0"/>
                                  <w:divBdr>
                                    <w:top w:val="none" w:sz="0" w:space="0" w:color="auto"/>
                                    <w:left w:val="none" w:sz="0" w:space="0" w:color="auto"/>
                                    <w:bottom w:val="none" w:sz="0" w:space="0" w:color="auto"/>
                                    <w:right w:val="none" w:sz="0" w:space="0" w:color="auto"/>
                                  </w:divBdr>
                                  <w:divsChild>
                                    <w:div w:id="440153651">
                                      <w:marLeft w:val="0"/>
                                      <w:marRight w:val="0"/>
                                      <w:marTop w:val="0"/>
                                      <w:marBottom w:val="0"/>
                                      <w:divBdr>
                                        <w:top w:val="none" w:sz="0" w:space="0" w:color="auto"/>
                                        <w:left w:val="none" w:sz="0" w:space="0" w:color="auto"/>
                                        <w:bottom w:val="none" w:sz="0" w:space="0" w:color="auto"/>
                                        <w:right w:val="none" w:sz="0" w:space="0" w:color="auto"/>
                                      </w:divBdr>
                                      <w:divsChild>
                                        <w:div w:id="1486777379">
                                          <w:marLeft w:val="0"/>
                                          <w:marRight w:val="0"/>
                                          <w:marTop w:val="0"/>
                                          <w:marBottom w:val="0"/>
                                          <w:divBdr>
                                            <w:top w:val="none" w:sz="0" w:space="0" w:color="auto"/>
                                            <w:left w:val="none" w:sz="0" w:space="0" w:color="auto"/>
                                            <w:bottom w:val="none" w:sz="0" w:space="0" w:color="auto"/>
                                            <w:right w:val="none" w:sz="0" w:space="0" w:color="auto"/>
                                          </w:divBdr>
                                          <w:divsChild>
                                            <w:div w:id="810371173">
                                              <w:marLeft w:val="0"/>
                                              <w:marRight w:val="0"/>
                                              <w:marTop w:val="0"/>
                                              <w:marBottom w:val="0"/>
                                              <w:divBdr>
                                                <w:top w:val="none" w:sz="0" w:space="0" w:color="auto"/>
                                                <w:left w:val="none" w:sz="0" w:space="0" w:color="auto"/>
                                                <w:bottom w:val="none" w:sz="0" w:space="0" w:color="auto"/>
                                                <w:right w:val="none" w:sz="0" w:space="0" w:color="auto"/>
                                              </w:divBdr>
                                              <w:divsChild>
                                                <w:div w:id="562059070">
                                                  <w:marLeft w:val="0"/>
                                                  <w:marRight w:val="0"/>
                                                  <w:marTop w:val="0"/>
                                                  <w:marBottom w:val="0"/>
                                                  <w:divBdr>
                                                    <w:top w:val="none" w:sz="0" w:space="0" w:color="auto"/>
                                                    <w:left w:val="none" w:sz="0" w:space="0" w:color="auto"/>
                                                    <w:bottom w:val="none" w:sz="0" w:space="0" w:color="auto"/>
                                                    <w:right w:val="none" w:sz="0" w:space="0" w:color="auto"/>
                                                  </w:divBdr>
                                                  <w:divsChild>
                                                    <w:div w:id="1084450017">
                                                      <w:marLeft w:val="0"/>
                                                      <w:marRight w:val="0"/>
                                                      <w:marTop w:val="0"/>
                                                      <w:marBottom w:val="0"/>
                                                      <w:divBdr>
                                                        <w:top w:val="none" w:sz="0" w:space="0" w:color="auto"/>
                                                        <w:left w:val="none" w:sz="0" w:space="0" w:color="auto"/>
                                                        <w:bottom w:val="none" w:sz="0" w:space="0" w:color="auto"/>
                                                        <w:right w:val="none" w:sz="0" w:space="0" w:color="auto"/>
                                                      </w:divBdr>
                                                      <w:divsChild>
                                                        <w:div w:id="1831172430">
                                                          <w:marLeft w:val="0"/>
                                                          <w:marRight w:val="0"/>
                                                          <w:marTop w:val="0"/>
                                                          <w:marBottom w:val="0"/>
                                                          <w:divBdr>
                                                            <w:top w:val="none" w:sz="0" w:space="0" w:color="auto"/>
                                                            <w:left w:val="none" w:sz="0" w:space="0" w:color="auto"/>
                                                            <w:bottom w:val="none" w:sz="0" w:space="0" w:color="auto"/>
                                                            <w:right w:val="none" w:sz="0" w:space="0" w:color="auto"/>
                                                          </w:divBdr>
                                                          <w:divsChild>
                                                            <w:div w:id="18585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11126">
                                                  <w:marLeft w:val="0"/>
                                                  <w:marRight w:val="0"/>
                                                  <w:marTop w:val="0"/>
                                                  <w:marBottom w:val="0"/>
                                                  <w:divBdr>
                                                    <w:top w:val="none" w:sz="0" w:space="0" w:color="auto"/>
                                                    <w:left w:val="none" w:sz="0" w:space="0" w:color="auto"/>
                                                    <w:bottom w:val="none" w:sz="0" w:space="0" w:color="auto"/>
                                                    <w:right w:val="none" w:sz="0" w:space="0" w:color="auto"/>
                                                  </w:divBdr>
                                                  <w:divsChild>
                                                    <w:div w:id="12672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5385372">
                          <w:marLeft w:val="0"/>
                          <w:marRight w:val="0"/>
                          <w:marTop w:val="0"/>
                          <w:marBottom w:val="0"/>
                          <w:divBdr>
                            <w:top w:val="none" w:sz="0" w:space="0" w:color="auto"/>
                            <w:left w:val="none" w:sz="0" w:space="0" w:color="auto"/>
                            <w:bottom w:val="none" w:sz="0" w:space="0" w:color="auto"/>
                            <w:right w:val="none" w:sz="0" w:space="0" w:color="auto"/>
                          </w:divBdr>
                        </w:div>
                        <w:div w:id="1633054553">
                          <w:marLeft w:val="0"/>
                          <w:marRight w:val="0"/>
                          <w:marTop w:val="0"/>
                          <w:marBottom w:val="0"/>
                          <w:divBdr>
                            <w:top w:val="none" w:sz="0" w:space="0" w:color="auto"/>
                            <w:left w:val="none" w:sz="0" w:space="0" w:color="auto"/>
                            <w:bottom w:val="none" w:sz="0" w:space="0" w:color="auto"/>
                            <w:right w:val="none" w:sz="0" w:space="0" w:color="auto"/>
                          </w:divBdr>
                        </w:div>
                        <w:div w:id="2096391344">
                          <w:marLeft w:val="0"/>
                          <w:marRight w:val="0"/>
                          <w:marTop w:val="0"/>
                          <w:marBottom w:val="0"/>
                          <w:divBdr>
                            <w:top w:val="none" w:sz="0" w:space="0" w:color="auto"/>
                            <w:left w:val="none" w:sz="0" w:space="0" w:color="auto"/>
                            <w:bottom w:val="none" w:sz="0" w:space="0" w:color="auto"/>
                            <w:right w:val="none" w:sz="0" w:space="0" w:color="auto"/>
                          </w:divBdr>
                          <w:divsChild>
                            <w:div w:id="124084754">
                              <w:marLeft w:val="0"/>
                              <w:marRight w:val="0"/>
                              <w:marTop w:val="0"/>
                              <w:marBottom w:val="0"/>
                              <w:divBdr>
                                <w:top w:val="none" w:sz="0" w:space="0" w:color="auto"/>
                                <w:left w:val="none" w:sz="0" w:space="0" w:color="auto"/>
                                <w:bottom w:val="none" w:sz="0" w:space="0" w:color="auto"/>
                                <w:right w:val="none" w:sz="0" w:space="0" w:color="auto"/>
                              </w:divBdr>
                              <w:divsChild>
                                <w:div w:id="429470684">
                                  <w:marLeft w:val="0"/>
                                  <w:marRight w:val="0"/>
                                  <w:marTop w:val="0"/>
                                  <w:marBottom w:val="0"/>
                                  <w:divBdr>
                                    <w:top w:val="none" w:sz="0" w:space="0" w:color="auto"/>
                                    <w:left w:val="none" w:sz="0" w:space="0" w:color="auto"/>
                                    <w:bottom w:val="none" w:sz="0" w:space="0" w:color="auto"/>
                                    <w:right w:val="none" w:sz="0" w:space="0" w:color="auto"/>
                                  </w:divBdr>
                                  <w:divsChild>
                                    <w:div w:id="1806847205">
                                      <w:marLeft w:val="0"/>
                                      <w:marRight w:val="0"/>
                                      <w:marTop w:val="0"/>
                                      <w:marBottom w:val="0"/>
                                      <w:divBdr>
                                        <w:top w:val="none" w:sz="0" w:space="0" w:color="auto"/>
                                        <w:left w:val="none" w:sz="0" w:space="0" w:color="auto"/>
                                        <w:bottom w:val="none" w:sz="0" w:space="0" w:color="auto"/>
                                        <w:right w:val="none" w:sz="0" w:space="0" w:color="auto"/>
                                      </w:divBdr>
                                      <w:divsChild>
                                        <w:div w:id="923148616">
                                          <w:marLeft w:val="0"/>
                                          <w:marRight w:val="0"/>
                                          <w:marTop w:val="0"/>
                                          <w:marBottom w:val="0"/>
                                          <w:divBdr>
                                            <w:top w:val="none" w:sz="0" w:space="0" w:color="auto"/>
                                            <w:left w:val="none" w:sz="0" w:space="0" w:color="auto"/>
                                            <w:bottom w:val="none" w:sz="0" w:space="0" w:color="auto"/>
                                            <w:right w:val="none" w:sz="0" w:space="0" w:color="auto"/>
                                          </w:divBdr>
                                          <w:divsChild>
                                            <w:div w:id="1974557697">
                                              <w:marLeft w:val="0"/>
                                              <w:marRight w:val="0"/>
                                              <w:marTop w:val="0"/>
                                              <w:marBottom w:val="0"/>
                                              <w:divBdr>
                                                <w:top w:val="none" w:sz="0" w:space="0" w:color="auto"/>
                                                <w:left w:val="none" w:sz="0" w:space="0" w:color="auto"/>
                                                <w:bottom w:val="none" w:sz="0" w:space="0" w:color="auto"/>
                                                <w:right w:val="none" w:sz="0" w:space="0" w:color="auto"/>
                                              </w:divBdr>
                                              <w:divsChild>
                                                <w:div w:id="180555060">
                                                  <w:marLeft w:val="0"/>
                                                  <w:marRight w:val="0"/>
                                                  <w:marTop w:val="0"/>
                                                  <w:marBottom w:val="0"/>
                                                  <w:divBdr>
                                                    <w:top w:val="none" w:sz="0" w:space="0" w:color="auto"/>
                                                    <w:left w:val="none" w:sz="0" w:space="0" w:color="auto"/>
                                                    <w:bottom w:val="none" w:sz="0" w:space="0" w:color="auto"/>
                                                    <w:right w:val="none" w:sz="0" w:space="0" w:color="auto"/>
                                                  </w:divBdr>
                                                  <w:divsChild>
                                                    <w:div w:id="546946">
                                                      <w:marLeft w:val="0"/>
                                                      <w:marRight w:val="0"/>
                                                      <w:marTop w:val="0"/>
                                                      <w:marBottom w:val="0"/>
                                                      <w:divBdr>
                                                        <w:top w:val="none" w:sz="0" w:space="0" w:color="auto"/>
                                                        <w:left w:val="none" w:sz="0" w:space="0" w:color="auto"/>
                                                        <w:bottom w:val="none" w:sz="0" w:space="0" w:color="auto"/>
                                                        <w:right w:val="none" w:sz="0" w:space="0" w:color="auto"/>
                                                      </w:divBdr>
                                                      <w:divsChild>
                                                        <w:div w:id="1582835344">
                                                          <w:marLeft w:val="0"/>
                                                          <w:marRight w:val="0"/>
                                                          <w:marTop w:val="0"/>
                                                          <w:marBottom w:val="0"/>
                                                          <w:divBdr>
                                                            <w:top w:val="none" w:sz="0" w:space="0" w:color="auto"/>
                                                            <w:left w:val="none" w:sz="0" w:space="0" w:color="auto"/>
                                                            <w:bottom w:val="none" w:sz="0" w:space="0" w:color="auto"/>
                                                            <w:right w:val="none" w:sz="0" w:space="0" w:color="auto"/>
                                                          </w:divBdr>
                                                          <w:divsChild>
                                                            <w:div w:id="6895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43000">
                                                  <w:marLeft w:val="0"/>
                                                  <w:marRight w:val="0"/>
                                                  <w:marTop w:val="0"/>
                                                  <w:marBottom w:val="0"/>
                                                  <w:divBdr>
                                                    <w:top w:val="none" w:sz="0" w:space="0" w:color="auto"/>
                                                    <w:left w:val="none" w:sz="0" w:space="0" w:color="auto"/>
                                                    <w:bottom w:val="none" w:sz="0" w:space="0" w:color="auto"/>
                                                    <w:right w:val="none" w:sz="0" w:space="0" w:color="auto"/>
                                                  </w:divBdr>
                                                  <w:divsChild>
                                                    <w:div w:id="13418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8279461">
          <w:marLeft w:val="0"/>
          <w:marRight w:val="0"/>
          <w:marTop w:val="0"/>
          <w:marBottom w:val="0"/>
          <w:divBdr>
            <w:top w:val="none" w:sz="0" w:space="0" w:color="auto"/>
            <w:left w:val="none" w:sz="0" w:space="0" w:color="auto"/>
            <w:bottom w:val="none" w:sz="0" w:space="0" w:color="auto"/>
            <w:right w:val="none" w:sz="0" w:space="0" w:color="auto"/>
          </w:divBdr>
        </w:div>
      </w:divsChild>
    </w:div>
    <w:div w:id="708802519">
      <w:bodyDiv w:val="1"/>
      <w:marLeft w:val="0"/>
      <w:marRight w:val="0"/>
      <w:marTop w:val="0"/>
      <w:marBottom w:val="0"/>
      <w:divBdr>
        <w:top w:val="none" w:sz="0" w:space="0" w:color="auto"/>
        <w:left w:val="none" w:sz="0" w:space="0" w:color="auto"/>
        <w:bottom w:val="none" w:sz="0" w:space="0" w:color="auto"/>
        <w:right w:val="none" w:sz="0" w:space="0" w:color="auto"/>
      </w:divBdr>
    </w:div>
    <w:div w:id="750273283">
      <w:bodyDiv w:val="1"/>
      <w:marLeft w:val="0"/>
      <w:marRight w:val="0"/>
      <w:marTop w:val="0"/>
      <w:marBottom w:val="0"/>
      <w:divBdr>
        <w:top w:val="none" w:sz="0" w:space="0" w:color="auto"/>
        <w:left w:val="none" w:sz="0" w:space="0" w:color="auto"/>
        <w:bottom w:val="none" w:sz="0" w:space="0" w:color="auto"/>
        <w:right w:val="none" w:sz="0" w:space="0" w:color="auto"/>
      </w:divBdr>
    </w:div>
    <w:div w:id="793793634">
      <w:bodyDiv w:val="1"/>
      <w:marLeft w:val="0"/>
      <w:marRight w:val="0"/>
      <w:marTop w:val="0"/>
      <w:marBottom w:val="0"/>
      <w:divBdr>
        <w:top w:val="none" w:sz="0" w:space="0" w:color="auto"/>
        <w:left w:val="none" w:sz="0" w:space="0" w:color="auto"/>
        <w:bottom w:val="none" w:sz="0" w:space="0" w:color="auto"/>
        <w:right w:val="none" w:sz="0" w:space="0" w:color="auto"/>
      </w:divBdr>
    </w:div>
    <w:div w:id="804347470">
      <w:bodyDiv w:val="1"/>
      <w:marLeft w:val="0"/>
      <w:marRight w:val="0"/>
      <w:marTop w:val="0"/>
      <w:marBottom w:val="0"/>
      <w:divBdr>
        <w:top w:val="none" w:sz="0" w:space="0" w:color="auto"/>
        <w:left w:val="none" w:sz="0" w:space="0" w:color="auto"/>
        <w:bottom w:val="none" w:sz="0" w:space="0" w:color="auto"/>
        <w:right w:val="none" w:sz="0" w:space="0" w:color="auto"/>
      </w:divBdr>
      <w:divsChild>
        <w:div w:id="424961576">
          <w:marLeft w:val="0"/>
          <w:marRight w:val="0"/>
          <w:marTop w:val="0"/>
          <w:marBottom w:val="0"/>
          <w:divBdr>
            <w:top w:val="none" w:sz="0" w:space="0" w:color="auto"/>
            <w:left w:val="none" w:sz="0" w:space="0" w:color="auto"/>
            <w:bottom w:val="none" w:sz="0" w:space="0" w:color="auto"/>
            <w:right w:val="none" w:sz="0" w:space="0" w:color="auto"/>
          </w:divBdr>
        </w:div>
      </w:divsChild>
    </w:div>
    <w:div w:id="867524458">
      <w:bodyDiv w:val="1"/>
      <w:marLeft w:val="0"/>
      <w:marRight w:val="0"/>
      <w:marTop w:val="0"/>
      <w:marBottom w:val="0"/>
      <w:divBdr>
        <w:top w:val="none" w:sz="0" w:space="0" w:color="auto"/>
        <w:left w:val="none" w:sz="0" w:space="0" w:color="auto"/>
        <w:bottom w:val="none" w:sz="0" w:space="0" w:color="auto"/>
        <w:right w:val="none" w:sz="0" w:space="0" w:color="auto"/>
      </w:divBdr>
    </w:div>
    <w:div w:id="947353466">
      <w:bodyDiv w:val="1"/>
      <w:marLeft w:val="0"/>
      <w:marRight w:val="0"/>
      <w:marTop w:val="0"/>
      <w:marBottom w:val="0"/>
      <w:divBdr>
        <w:top w:val="none" w:sz="0" w:space="0" w:color="auto"/>
        <w:left w:val="none" w:sz="0" w:space="0" w:color="auto"/>
        <w:bottom w:val="none" w:sz="0" w:space="0" w:color="auto"/>
        <w:right w:val="none" w:sz="0" w:space="0" w:color="auto"/>
      </w:divBdr>
    </w:div>
    <w:div w:id="954675388">
      <w:bodyDiv w:val="1"/>
      <w:marLeft w:val="0"/>
      <w:marRight w:val="0"/>
      <w:marTop w:val="0"/>
      <w:marBottom w:val="0"/>
      <w:divBdr>
        <w:top w:val="none" w:sz="0" w:space="0" w:color="auto"/>
        <w:left w:val="none" w:sz="0" w:space="0" w:color="auto"/>
        <w:bottom w:val="none" w:sz="0" w:space="0" w:color="auto"/>
        <w:right w:val="none" w:sz="0" w:space="0" w:color="auto"/>
      </w:divBdr>
    </w:div>
    <w:div w:id="1009405447">
      <w:bodyDiv w:val="1"/>
      <w:marLeft w:val="0"/>
      <w:marRight w:val="0"/>
      <w:marTop w:val="0"/>
      <w:marBottom w:val="0"/>
      <w:divBdr>
        <w:top w:val="none" w:sz="0" w:space="0" w:color="auto"/>
        <w:left w:val="none" w:sz="0" w:space="0" w:color="auto"/>
        <w:bottom w:val="none" w:sz="0" w:space="0" w:color="auto"/>
        <w:right w:val="none" w:sz="0" w:space="0" w:color="auto"/>
      </w:divBdr>
    </w:div>
    <w:div w:id="1024553403">
      <w:bodyDiv w:val="1"/>
      <w:marLeft w:val="0"/>
      <w:marRight w:val="0"/>
      <w:marTop w:val="0"/>
      <w:marBottom w:val="0"/>
      <w:divBdr>
        <w:top w:val="none" w:sz="0" w:space="0" w:color="auto"/>
        <w:left w:val="none" w:sz="0" w:space="0" w:color="auto"/>
        <w:bottom w:val="none" w:sz="0" w:space="0" w:color="auto"/>
        <w:right w:val="none" w:sz="0" w:space="0" w:color="auto"/>
      </w:divBdr>
    </w:div>
    <w:div w:id="1062677286">
      <w:bodyDiv w:val="1"/>
      <w:marLeft w:val="0"/>
      <w:marRight w:val="0"/>
      <w:marTop w:val="0"/>
      <w:marBottom w:val="0"/>
      <w:divBdr>
        <w:top w:val="none" w:sz="0" w:space="0" w:color="auto"/>
        <w:left w:val="none" w:sz="0" w:space="0" w:color="auto"/>
        <w:bottom w:val="none" w:sz="0" w:space="0" w:color="auto"/>
        <w:right w:val="none" w:sz="0" w:space="0" w:color="auto"/>
      </w:divBdr>
    </w:div>
    <w:div w:id="1200124731">
      <w:bodyDiv w:val="1"/>
      <w:marLeft w:val="0"/>
      <w:marRight w:val="0"/>
      <w:marTop w:val="0"/>
      <w:marBottom w:val="0"/>
      <w:divBdr>
        <w:top w:val="none" w:sz="0" w:space="0" w:color="auto"/>
        <w:left w:val="none" w:sz="0" w:space="0" w:color="auto"/>
        <w:bottom w:val="none" w:sz="0" w:space="0" w:color="auto"/>
        <w:right w:val="none" w:sz="0" w:space="0" w:color="auto"/>
      </w:divBdr>
    </w:div>
    <w:div w:id="1202017498">
      <w:bodyDiv w:val="1"/>
      <w:marLeft w:val="0"/>
      <w:marRight w:val="0"/>
      <w:marTop w:val="0"/>
      <w:marBottom w:val="0"/>
      <w:divBdr>
        <w:top w:val="none" w:sz="0" w:space="0" w:color="auto"/>
        <w:left w:val="none" w:sz="0" w:space="0" w:color="auto"/>
        <w:bottom w:val="none" w:sz="0" w:space="0" w:color="auto"/>
        <w:right w:val="none" w:sz="0" w:space="0" w:color="auto"/>
      </w:divBdr>
      <w:divsChild>
        <w:div w:id="1776050278">
          <w:marLeft w:val="0"/>
          <w:marRight w:val="0"/>
          <w:marTop w:val="0"/>
          <w:marBottom w:val="0"/>
          <w:divBdr>
            <w:top w:val="none" w:sz="0" w:space="0" w:color="auto"/>
            <w:left w:val="none" w:sz="0" w:space="0" w:color="auto"/>
            <w:bottom w:val="none" w:sz="0" w:space="0" w:color="auto"/>
            <w:right w:val="none" w:sz="0" w:space="0" w:color="auto"/>
          </w:divBdr>
        </w:div>
      </w:divsChild>
    </w:div>
    <w:div w:id="1223252261">
      <w:bodyDiv w:val="1"/>
      <w:marLeft w:val="0"/>
      <w:marRight w:val="0"/>
      <w:marTop w:val="0"/>
      <w:marBottom w:val="0"/>
      <w:divBdr>
        <w:top w:val="none" w:sz="0" w:space="0" w:color="auto"/>
        <w:left w:val="none" w:sz="0" w:space="0" w:color="auto"/>
        <w:bottom w:val="none" w:sz="0" w:space="0" w:color="auto"/>
        <w:right w:val="none" w:sz="0" w:space="0" w:color="auto"/>
      </w:divBdr>
    </w:div>
    <w:div w:id="1244801811">
      <w:bodyDiv w:val="1"/>
      <w:marLeft w:val="0"/>
      <w:marRight w:val="0"/>
      <w:marTop w:val="0"/>
      <w:marBottom w:val="0"/>
      <w:divBdr>
        <w:top w:val="none" w:sz="0" w:space="0" w:color="auto"/>
        <w:left w:val="none" w:sz="0" w:space="0" w:color="auto"/>
        <w:bottom w:val="none" w:sz="0" w:space="0" w:color="auto"/>
        <w:right w:val="none" w:sz="0" w:space="0" w:color="auto"/>
      </w:divBdr>
    </w:div>
    <w:div w:id="1248150932">
      <w:bodyDiv w:val="1"/>
      <w:marLeft w:val="0"/>
      <w:marRight w:val="0"/>
      <w:marTop w:val="0"/>
      <w:marBottom w:val="0"/>
      <w:divBdr>
        <w:top w:val="none" w:sz="0" w:space="0" w:color="auto"/>
        <w:left w:val="none" w:sz="0" w:space="0" w:color="auto"/>
        <w:bottom w:val="none" w:sz="0" w:space="0" w:color="auto"/>
        <w:right w:val="none" w:sz="0" w:space="0" w:color="auto"/>
      </w:divBdr>
    </w:div>
    <w:div w:id="1254820171">
      <w:bodyDiv w:val="1"/>
      <w:marLeft w:val="0"/>
      <w:marRight w:val="0"/>
      <w:marTop w:val="0"/>
      <w:marBottom w:val="0"/>
      <w:divBdr>
        <w:top w:val="none" w:sz="0" w:space="0" w:color="auto"/>
        <w:left w:val="none" w:sz="0" w:space="0" w:color="auto"/>
        <w:bottom w:val="none" w:sz="0" w:space="0" w:color="auto"/>
        <w:right w:val="none" w:sz="0" w:space="0" w:color="auto"/>
      </w:divBdr>
    </w:div>
    <w:div w:id="1264454858">
      <w:bodyDiv w:val="1"/>
      <w:marLeft w:val="0"/>
      <w:marRight w:val="0"/>
      <w:marTop w:val="0"/>
      <w:marBottom w:val="0"/>
      <w:divBdr>
        <w:top w:val="none" w:sz="0" w:space="0" w:color="auto"/>
        <w:left w:val="none" w:sz="0" w:space="0" w:color="auto"/>
        <w:bottom w:val="none" w:sz="0" w:space="0" w:color="auto"/>
        <w:right w:val="none" w:sz="0" w:space="0" w:color="auto"/>
      </w:divBdr>
    </w:div>
    <w:div w:id="1298299385">
      <w:bodyDiv w:val="1"/>
      <w:marLeft w:val="0"/>
      <w:marRight w:val="0"/>
      <w:marTop w:val="0"/>
      <w:marBottom w:val="0"/>
      <w:divBdr>
        <w:top w:val="none" w:sz="0" w:space="0" w:color="auto"/>
        <w:left w:val="none" w:sz="0" w:space="0" w:color="auto"/>
        <w:bottom w:val="none" w:sz="0" w:space="0" w:color="auto"/>
        <w:right w:val="none" w:sz="0" w:space="0" w:color="auto"/>
      </w:divBdr>
    </w:div>
    <w:div w:id="1332837066">
      <w:bodyDiv w:val="1"/>
      <w:marLeft w:val="0"/>
      <w:marRight w:val="0"/>
      <w:marTop w:val="0"/>
      <w:marBottom w:val="0"/>
      <w:divBdr>
        <w:top w:val="none" w:sz="0" w:space="0" w:color="auto"/>
        <w:left w:val="none" w:sz="0" w:space="0" w:color="auto"/>
        <w:bottom w:val="none" w:sz="0" w:space="0" w:color="auto"/>
        <w:right w:val="none" w:sz="0" w:space="0" w:color="auto"/>
      </w:divBdr>
    </w:div>
    <w:div w:id="1337001130">
      <w:bodyDiv w:val="1"/>
      <w:marLeft w:val="0"/>
      <w:marRight w:val="0"/>
      <w:marTop w:val="0"/>
      <w:marBottom w:val="0"/>
      <w:divBdr>
        <w:top w:val="none" w:sz="0" w:space="0" w:color="auto"/>
        <w:left w:val="none" w:sz="0" w:space="0" w:color="auto"/>
        <w:bottom w:val="none" w:sz="0" w:space="0" w:color="auto"/>
        <w:right w:val="none" w:sz="0" w:space="0" w:color="auto"/>
      </w:divBdr>
    </w:div>
    <w:div w:id="1337880475">
      <w:bodyDiv w:val="1"/>
      <w:marLeft w:val="0"/>
      <w:marRight w:val="0"/>
      <w:marTop w:val="0"/>
      <w:marBottom w:val="0"/>
      <w:divBdr>
        <w:top w:val="none" w:sz="0" w:space="0" w:color="auto"/>
        <w:left w:val="none" w:sz="0" w:space="0" w:color="auto"/>
        <w:bottom w:val="none" w:sz="0" w:space="0" w:color="auto"/>
        <w:right w:val="none" w:sz="0" w:space="0" w:color="auto"/>
      </w:divBdr>
    </w:div>
    <w:div w:id="1353189827">
      <w:bodyDiv w:val="1"/>
      <w:marLeft w:val="0"/>
      <w:marRight w:val="0"/>
      <w:marTop w:val="0"/>
      <w:marBottom w:val="0"/>
      <w:divBdr>
        <w:top w:val="none" w:sz="0" w:space="0" w:color="auto"/>
        <w:left w:val="none" w:sz="0" w:space="0" w:color="auto"/>
        <w:bottom w:val="none" w:sz="0" w:space="0" w:color="auto"/>
        <w:right w:val="none" w:sz="0" w:space="0" w:color="auto"/>
      </w:divBdr>
    </w:div>
    <w:div w:id="1371808264">
      <w:bodyDiv w:val="1"/>
      <w:marLeft w:val="0"/>
      <w:marRight w:val="0"/>
      <w:marTop w:val="0"/>
      <w:marBottom w:val="0"/>
      <w:divBdr>
        <w:top w:val="none" w:sz="0" w:space="0" w:color="auto"/>
        <w:left w:val="none" w:sz="0" w:space="0" w:color="auto"/>
        <w:bottom w:val="none" w:sz="0" w:space="0" w:color="auto"/>
        <w:right w:val="none" w:sz="0" w:space="0" w:color="auto"/>
      </w:divBdr>
    </w:div>
    <w:div w:id="1389036522">
      <w:bodyDiv w:val="1"/>
      <w:marLeft w:val="0"/>
      <w:marRight w:val="0"/>
      <w:marTop w:val="0"/>
      <w:marBottom w:val="0"/>
      <w:divBdr>
        <w:top w:val="none" w:sz="0" w:space="0" w:color="auto"/>
        <w:left w:val="none" w:sz="0" w:space="0" w:color="auto"/>
        <w:bottom w:val="none" w:sz="0" w:space="0" w:color="auto"/>
        <w:right w:val="none" w:sz="0" w:space="0" w:color="auto"/>
      </w:divBdr>
    </w:div>
    <w:div w:id="1459449418">
      <w:bodyDiv w:val="1"/>
      <w:marLeft w:val="0"/>
      <w:marRight w:val="0"/>
      <w:marTop w:val="0"/>
      <w:marBottom w:val="0"/>
      <w:divBdr>
        <w:top w:val="none" w:sz="0" w:space="0" w:color="auto"/>
        <w:left w:val="none" w:sz="0" w:space="0" w:color="auto"/>
        <w:bottom w:val="none" w:sz="0" w:space="0" w:color="auto"/>
        <w:right w:val="none" w:sz="0" w:space="0" w:color="auto"/>
      </w:divBdr>
      <w:divsChild>
        <w:div w:id="168908351">
          <w:marLeft w:val="0"/>
          <w:marRight w:val="0"/>
          <w:marTop w:val="0"/>
          <w:marBottom w:val="0"/>
          <w:divBdr>
            <w:top w:val="none" w:sz="0" w:space="0" w:color="auto"/>
            <w:left w:val="none" w:sz="0" w:space="0" w:color="auto"/>
            <w:bottom w:val="none" w:sz="0" w:space="0" w:color="auto"/>
            <w:right w:val="none" w:sz="0" w:space="0" w:color="auto"/>
          </w:divBdr>
        </w:div>
        <w:div w:id="255946784">
          <w:marLeft w:val="0"/>
          <w:marRight w:val="0"/>
          <w:marTop w:val="0"/>
          <w:marBottom w:val="0"/>
          <w:divBdr>
            <w:top w:val="none" w:sz="0" w:space="0" w:color="auto"/>
            <w:left w:val="none" w:sz="0" w:space="0" w:color="auto"/>
            <w:bottom w:val="none" w:sz="0" w:space="0" w:color="auto"/>
            <w:right w:val="none" w:sz="0" w:space="0" w:color="auto"/>
          </w:divBdr>
        </w:div>
        <w:div w:id="657001443">
          <w:marLeft w:val="0"/>
          <w:marRight w:val="0"/>
          <w:marTop w:val="0"/>
          <w:marBottom w:val="0"/>
          <w:divBdr>
            <w:top w:val="none" w:sz="0" w:space="0" w:color="auto"/>
            <w:left w:val="none" w:sz="0" w:space="0" w:color="auto"/>
            <w:bottom w:val="none" w:sz="0" w:space="0" w:color="auto"/>
            <w:right w:val="none" w:sz="0" w:space="0" w:color="auto"/>
          </w:divBdr>
        </w:div>
        <w:div w:id="910696889">
          <w:marLeft w:val="0"/>
          <w:marRight w:val="0"/>
          <w:marTop w:val="0"/>
          <w:marBottom w:val="0"/>
          <w:divBdr>
            <w:top w:val="none" w:sz="0" w:space="0" w:color="auto"/>
            <w:left w:val="none" w:sz="0" w:space="0" w:color="auto"/>
            <w:bottom w:val="none" w:sz="0" w:space="0" w:color="auto"/>
            <w:right w:val="none" w:sz="0" w:space="0" w:color="auto"/>
          </w:divBdr>
        </w:div>
        <w:div w:id="1152020097">
          <w:marLeft w:val="0"/>
          <w:marRight w:val="0"/>
          <w:marTop w:val="0"/>
          <w:marBottom w:val="0"/>
          <w:divBdr>
            <w:top w:val="none" w:sz="0" w:space="0" w:color="auto"/>
            <w:left w:val="none" w:sz="0" w:space="0" w:color="auto"/>
            <w:bottom w:val="none" w:sz="0" w:space="0" w:color="auto"/>
            <w:right w:val="none" w:sz="0" w:space="0" w:color="auto"/>
          </w:divBdr>
        </w:div>
        <w:div w:id="1716584662">
          <w:marLeft w:val="0"/>
          <w:marRight w:val="0"/>
          <w:marTop w:val="0"/>
          <w:marBottom w:val="0"/>
          <w:divBdr>
            <w:top w:val="none" w:sz="0" w:space="0" w:color="auto"/>
            <w:left w:val="none" w:sz="0" w:space="0" w:color="auto"/>
            <w:bottom w:val="none" w:sz="0" w:space="0" w:color="auto"/>
            <w:right w:val="none" w:sz="0" w:space="0" w:color="auto"/>
          </w:divBdr>
        </w:div>
      </w:divsChild>
    </w:div>
    <w:div w:id="1502618083">
      <w:bodyDiv w:val="1"/>
      <w:marLeft w:val="0"/>
      <w:marRight w:val="0"/>
      <w:marTop w:val="0"/>
      <w:marBottom w:val="0"/>
      <w:divBdr>
        <w:top w:val="none" w:sz="0" w:space="0" w:color="auto"/>
        <w:left w:val="none" w:sz="0" w:space="0" w:color="auto"/>
        <w:bottom w:val="none" w:sz="0" w:space="0" w:color="auto"/>
        <w:right w:val="none" w:sz="0" w:space="0" w:color="auto"/>
      </w:divBdr>
    </w:div>
    <w:div w:id="1544101143">
      <w:bodyDiv w:val="1"/>
      <w:marLeft w:val="0"/>
      <w:marRight w:val="0"/>
      <w:marTop w:val="0"/>
      <w:marBottom w:val="0"/>
      <w:divBdr>
        <w:top w:val="none" w:sz="0" w:space="0" w:color="auto"/>
        <w:left w:val="none" w:sz="0" w:space="0" w:color="auto"/>
        <w:bottom w:val="none" w:sz="0" w:space="0" w:color="auto"/>
        <w:right w:val="none" w:sz="0" w:space="0" w:color="auto"/>
      </w:divBdr>
    </w:div>
    <w:div w:id="1608123469">
      <w:bodyDiv w:val="1"/>
      <w:marLeft w:val="0"/>
      <w:marRight w:val="0"/>
      <w:marTop w:val="0"/>
      <w:marBottom w:val="0"/>
      <w:divBdr>
        <w:top w:val="none" w:sz="0" w:space="0" w:color="auto"/>
        <w:left w:val="none" w:sz="0" w:space="0" w:color="auto"/>
        <w:bottom w:val="none" w:sz="0" w:space="0" w:color="auto"/>
        <w:right w:val="none" w:sz="0" w:space="0" w:color="auto"/>
      </w:divBdr>
    </w:div>
    <w:div w:id="1676305887">
      <w:bodyDiv w:val="1"/>
      <w:marLeft w:val="0"/>
      <w:marRight w:val="0"/>
      <w:marTop w:val="0"/>
      <w:marBottom w:val="0"/>
      <w:divBdr>
        <w:top w:val="none" w:sz="0" w:space="0" w:color="auto"/>
        <w:left w:val="none" w:sz="0" w:space="0" w:color="auto"/>
        <w:bottom w:val="none" w:sz="0" w:space="0" w:color="auto"/>
        <w:right w:val="none" w:sz="0" w:space="0" w:color="auto"/>
      </w:divBdr>
    </w:div>
    <w:div w:id="1684471821">
      <w:bodyDiv w:val="1"/>
      <w:marLeft w:val="0"/>
      <w:marRight w:val="0"/>
      <w:marTop w:val="0"/>
      <w:marBottom w:val="0"/>
      <w:divBdr>
        <w:top w:val="none" w:sz="0" w:space="0" w:color="auto"/>
        <w:left w:val="none" w:sz="0" w:space="0" w:color="auto"/>
        <w:bottom w:val="none" w:sz="0" w:space="0" w:color="auto"/>
        <w:right w:val="none" w:sz="0" w:space="0" w:color="auto"/>
      </w:divBdr>
    </w:div>
    <w:div w:id="1699699525">
      <w:bodyDiv w:val="1"/>
      <w:marLeft w:val="0"/>
      <w:marRight w:val="0"/>
      <w:marTop w:val="0"/>
      <w:marBottom w:val="0"/>
      <w:divBdr>
        <w:top w:val="none" w:sz="0" w:space="0" w:color="auto"/>
        <w:left w:val="none" w:sz="0" w:space="0" w:color="auto"/>
        <w:bottom w:val="none" w:sz="0" w:space="0" w:color="auto"/>
        <w:right w:val="none" w:sz="0" w:space="0" w:color="auto"/>
      </w:divBdr>
    </w:div>
    <w:div w:id="1779368267">
      <w:bodyDiv w:val="1"/>
      <w:marLeft w:val="0"/>
      <w:marRight w:val="0"/>
      <w:marTop w:val="0"/>
      <w:marBottom w:val="0"/>
      <w:divBdr>
        <w:top w:val="none" w:sz="0" w:space="0" w:color="auto"/>
        <w:left w:val="none" w:sz="0" w:space="0" w:color="auto"/>
        <w:bottom w:val="none" w:sz="0" w:space="0" w:color="auto"/>
        <w:right w:val="none" w:sz="0" w:space="0" w:color="auto"/>
      </w:divBdr>
    </w:div>
    <w:div w:id="1785466593">
      <w:bodyDiv w:val="1"/>
      <w:marLeft w:val="0"/>
      <w:marRight w:val="0"/>
      <w:marTop w:val="0"/>
      <w:marBottom w:val="0"/>
      <w:divBdr>
        <w:top w:val="none" w:sz="0" w:space="0" w:color="auto"/>
        <w:left w:val="none" w:sz="0" w:space="0" w:color="auto"/>
        <w:bottom w:val="none" w:sz="0" w:space="0" w:color="auto"/>
        <w:right w:val="none" w:sz="0" w:space="0" w:color="auto"/>
      </w:divBdr>
    </w:div>
    <w:div w:id="1811441011">
      <w:bodyDiv w:val="1"/>
      <w:marLeft w:val="0"/>
      <w:marRight w:val="0"/>
      <w:marTop w:val="0"/>
      <w:marBottom w:val="0"/>
      <w:divBdr>
        <w:top w:val="none" w:sz="0" w:space="0" w:color="auto"/>
        <w:left w:val="none" w:sz="0" w:space="0" w:color="auto"/>
        <w:bottom w:val="none" w:sz="0" w:space="0" w:color="auto"/>
        <w:right w:val="none" w:sz="0" w:space="0" w:color="auto"/>
      </w:divBdr>
    </w:div>
    <w:div w:id="1831829366">
      <w:bodyDiv w:val="1"/>
      <w:marLeft w:val="0"/>
      <w:marRight w:val="0"/>
      <w:marTop w:val="0"/>
      <w:marBottom w:val="0"/>
      <w:divBdr>
        <w:top w:val="none" w:sz="0" w:space="0" w:color="auto"/>
        <w:left w:val="none" w:sz="0" w:space="0" w:color="auto"/>
        <w:bottom w:val="none" w:sz="0" w:space="0" w:color="auto"/>
        <w:right w:val="none" w:sz="0" w:space="0" w:color="auto"/>
      </w:divBdr>
    </w:div>
    <w:div w:id="1839732394">
      <w:bodyDiv w:val="1"/>
      <w:marLeft w:val="0"/>
      <w:marRight w:val="0"/>
      <w:marTop w:val="0"/>
      <w:marBottom w:val="0"/>
      <w:divBdr>
        <w:top w:val="none" w:sz="0" w:space="0" w:color="auto"/>
        <w:left w:val="none" w:sz="0" w:space="0" w:color="auto"/>
        <w:bottom w:val="none" w:sz="0" w:space="0" w:color="auto"/>
        <w:right w:val="none" w:sz="0" w:space="0" w:color="auto"/>
      </w:divBdr>
      <w:divsChild>
        <w:div w:id="363948022">
          <w:marLeft w:val="0"/>
          <w:marRight w:val="0"/>
          <w:marTop w:val="0"/>
          <w:marBottom w:val="0"/>
          <w:divBdr>
            <w:top w:val="none" w:sz="0" w:space="0" w:color="auto"/>
            <w:left w:val="none" w:sz="0" w:space="0" w:color="auto"/>
            <w:bottom w:val="none" w:sz="0" w:space="0" w:color="auto"/>
            <w:right w:val="none" w:sz="0" w:space="0" w:color="auto"/>
          </w:divBdr>
        </w:div>
        <w:div w:id="1744451420">
          <w:marLeft w:val="0"/>
          <w:marRight w:val="0"/>
          <w:marTop w:val="0"/>
          <w:marBottom w:val="0"/>
          <w:divBdr>
            <w:top w:val="none" w:sz="0" w:space="0" w:color="auto"/>
            <w:left w:val="none" w:sz="0" w:space="0" w:color="auto"/>
            <w:bottom w:val="none" w:sz="0" w:space="0" w:color="auto"/>
            <w:right w:val="none" w:sz="0" w:space="0" w:color="auto"/>
          </w:divBdr>
        </w:div>
      </w:divsChild>
    </w:div>
    <w:div w:id="1845974074">
      <w:bodyDiv w:val="1"/>
      <w:marLeft w:val="0"/>
      <w:marRight w:val="0"/>
      <w:marTop w:val="0"/>
      <w:marBottom w:val="0"/>
      <w:divBdr>
        <w:top w:val="none" w:sz="0" w:space="0" w:color="auto"/>
        <w:left w:val="none" w:sz="0" w:space="0" w:color="auto"/>
        <w:bottom w:val="none" w:sz="0" w:space="0" w:color="auto"/>
        <w:right w:val="none" w:sz="0" w:space="0" w:color="auto"/>
      </w:divBdr>
    </w:div>
    <w:div w:id="1919748982">
      <w:bodyDiv w:val="1"/>
      <w:marLeft w:val="0"/>
      <w:marRight w:val="0"/>
      <w:marTop w:val="0"/>
      <w:marBottom w:val="0"/>
      <w:divBdr>
        <w:top w:val="none" w:sz="0" w:space="0" w:color="auto"/>
        <w:left w:val="none" w:sz="0" w:space="0" w:color="auto"/>
        <w:bottom w:val="none" w:sz="0" w:space="0" w:color="auto"/>
        <w:right w:val="none" w:sz="0" w:space="0" w:color="auto"/>
      </w:divBdr>
    </w:div>
    <w:div w:id="1944221046">
      <w:bodyDiv w:val="1"/>
      <w:marLeft w:val="0"/>
      <w:marRight w:val="0"/>
      <w:marTop w:val="0"/>
      <w:marBottom w:val="0"/>
      <w:divBdr>
        <w:top w:val="none" w:sz="0" w:space="0" w:color="auto"/>
        <w:left w:val="none" w:sz="0" w:space="0" w:color="auto"/>
        <w:bottom w:val="none" w:sz="0" w:space="0" w:color="auto"/>
        <w:right w:val="none" w:sz="0" w:space="0" w:color="auto"/>
      </w:divBdr>
    </w:div>
    <w:div w:id="1964539163">
      <w:bodyDiv w:val="1"/>
      <w:marLeft w:val="0"/>
      <w:marRight w:val="0"/>
      <w:marTop w:val="0"/>
      <w:marBottom w:val="0"/>
      <w:divBdr>
        <w:top w:val="none" w:sz="0" w:space="0" w:color="auto"/>
        <w:left w:val="none" w:sz="0" w:space="0" w:color="auto"/>
        <w:bottom w:val="none" w:sz="0" w:space="0" w:color="auto"/>
        <w:right w:val="none" w:sz="0" w:space="0" w:color="auto"/>
      </w:divBdr>
    </w:div>
    <w:div w:id="1977566494">
      <w:bodyDiv w:val="1"/>
      <w:marLeft w:val="0"/>
      <w:marRight w:val="0"/>
      <w:marTop w:val="0"/>
      <w:marBottom w:val="0"/>
      <w:divBdr>
        <w:top w:val="none" w:sz="0" w:space="0" w:color="auto"/>
        <w:left w:val="none" w:sz="0" w:space="0" w:color="auto"/>
        <w:bottom w:val="none" w:sz="0" w:space="0" w:color="auto"/>
        <w:right w:val="none" w:sz="0" w:space="0" w:color="auto"/>
      </w:divBdr>
    </w:div>
    <w:div w:id="2109084490">
      <w:bodyDiv w:val="1"/>
      <w:marLeft w:val="0"/>
      <w:marRight w:val="0"/>
      <w:marTop w:val="0"/>
      <w:marBottom w:val="0"/>
      <w:divBdr>
        <w:top w:val="none" w:sz="0" w:space="0" w:color="auto"/>
        <w:left w:val="none" w:sz="0" w:space="0" w:color="auto"/>
        <w:bottom w:val="none" w:sz="0" w:space="0" w:color="auto"/>
        <w:right w:val="none" w:sz="0" w:space="0" w:color="auto"/>
      </w:divBdr>
    </w:div>
    <w:div w:id="2110080082">
      <w:bodyDiv w:val="1"/>
      <w:marLeft w:val="0"/>
      <w:marRight w:val="0"/>
      <w:marTop w:val="0"/>
      <w:marBottom w:val="0"/>
      <w:divBdr>
        <w:top w:val="none" w:sz="0" w:space="0" w:color="auto"/>
        <w:left w:val="none" w:sz="0" w:space="0" w:color="auto"/>
        <w:bottom w:val="none" w:sz="0" w:space="0" w:color="auto"/>
        <w:right w:val="none" w:sz="0" w:space="0" w:color="auto"/>
      </w:divBdr>
    </w:div>
    <w:div w:id="2131702813">
      <w:bodyDiv w:val="1"/>
      <w:marLeft w:val="0"/>
      <w:marRight w:val="0"/>
      <w:marTop w:val="0"/>
      <w:marBottom w:val="0"/>
      <w:divBdr>
        <w:top w:val="none" w:sz="0" w:space="0" w:color="auto"/>
        <w:left w:val="none" w:sz="0" w:space="0" w:color="auto"/>
        <w:bottom w:val="none" w:sz="0" w:space="0" w:color="auto"/>
        <w:right w:val="none" w:sz="0" w:space="0" w:color="auto"/>
      </w:divBdr>
    </w:div>
    <w:div w:id="2134980457">
      <w:bodyDiv w:val="1"/>
      <w:marLeft w:val="0"/>
      <w:marRight w:val="0"/>
      <w:marTop w:val="0"/>
      <w:marBottom w:val="0"/>
      <w:divBdr>
        <w:top w:val="none" w:sz="0" w:space="0" w:color="auto"/>
        <w:left w:val="none" w:sz="0" w:space="0" w:color="auto"/>
        <w:bottom w:val="none" w:sz="0" w:space="0" w:color="auto"/>
        <w:right w:val="none" w:sz="0" w:space="0" w:color="auto"/>
      </w:divBdr>
      <w:divsChild>
        <w:div w:id="1587424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stcom.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mila.cadkova@crestcom.c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isa.kolarikova@crestcom.cz" TargetMode="External"/><Relationship Id="rId5" Type="http://schemas.openxmlformats.org/officeDocument/2006/relationships/numbering" Target="numbering.xml"/><Relationship Id="rId15" Type="http://schemas.openxmlformats.org/officeDocument/2006/relationships/hyperlink" Target="http://www.cbre.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nata.mrazova@cbr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razova\Downloads\2021_press_release_template.dotx" TargetMode="External"/></Relationships>
</file>

<file path=word/theme/theme1.xml><?xml version="1.0" encoding="utf-8"?>
<a:theme xmlns:a="http://schemas.openxmlformats.org/drawingml/2006/main" name="CBRE 2021 Theme">
  <a:themeElements>
    <a:clrScheme name="CBRE 2021">
      <a:dk1>
        <a:srgbClr val="425254"/>
      </a:dk1>
      <a:lt1>
        <a:srgbClr val="FFFFFF"/>
      </a:lt1>
      <a:dk2>
        <a:srgbClr val="DCD99A"/>
      </a:dk2>
      <a:lt2>
        <a:srgbClr val="7FBBAD"/>
      </a:lt2>
      <a:accent1>
        <a:srgbClr val="1F3765"/>
      </a:accent1>
      <a:accent2>
        <a:srgbClr val="3E7DA6"/>
      </a:accent2>
      <a:accent3>
        <a:srgbClr val="CAD1D3"/>
      </a:accent3>
      <a:accent4>
        <a:srgbClr val="96B3B6"/>
      </a:accent4>
      <a:accent5>
        <a:srgbClr val="7F8481"/>
      </a:accent5>
      <a:accent6>
        <a:srgbClr val="003D30"/>
      </a:accent6>
      <a:hlink>
        <a:srgbClr val="80BBAD"/>
      </a:hlink>
      <a:folHlink>
        <a:srgbClr val="CAD1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37425BC85BAC47A18BE758018E6255" ma:contentTypeVersion="15" ma:contentTypeDescription="Vytvoří nový dokument" ma:contentTypeScope="" ma:versionID="06bf7dff480f1b49b775de0035fe3f20">
  <xsd:schema xmlns:xsd="http://www.w3.org/2001/XMLSchema" xmlns:xs="http://www.w3.org/2001/XMLSchema" xmlns:p="http://schemas.microsoft.com/office/2006/metadata/properties" xmlns:ns2="d603c823-c8e5-4558-a031-867f95ca9115" xmlns:ns3="18c12310-cec0-45af-89e4-4278154c9cc2" targetNamespace="http://schemas.microsoft.com/office/2006/metadata/properties" ma:root="true" ma:fieldsID="f65a713280e6229c5668ddcf673e2443" ns2:_="" ns3:_="">
    <xsd:import namespace="d603c823-c8e5-4558-a031-867f95ca9115"/>
    <xsd:import namespace="18c12310-cec0-45af-89e4-4278154c9c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3c823-c8e5-4558-a031-867f95ca9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2310-cec0-45af-89e4-4278154c9c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6fffaca-9e71-412c-8438-7d6a9c64bbf7}" ma:internalName="TaxCatchAll" ma:showField="CatchAllData" ma:web="18c12310-cec0-45af-89e4-4278154c9cc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8c12310-cec0-45af-89e4-4278154c9cc2" xsi:nil="true"/>
    <lcf76f155ced4ddcb4097134ff3c332f xmlns="d603c823-c8e5-4558-a031-867f95ca91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F83D59-0873-42C9-956F-F786181A2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3c823-c8e5-4558-a031-867f95ca9115"/>
    <ds:schemaRef ds:uri="18c12310-cec0-45af-89e4-4278154c9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A12B4-940F-4572-8B0D-0A25BEC7C384}">
  <ds:schemaRefs>
    <ds:schemaRef ds:uri="http://schemas.openxmlformats.org/officeDocument/2006/bibliography"/>
  </ds:schemaRefs>
</ds:datastoreItem>
</file>

<file path=customXml/itemProps3.xml><?xml version="1.0" encoding="utf-8"?>
<ds:datastoreItem xmlns:ds="http://schemas.openxmlformats.org/officeDocument/2006/customXml" ds:itemID="{0E2ED8B6-C8B9-492E-BC76-2C95D34B0F11}">
  <ds:schemaRefs>
    <ds:schemaRef ds:uri="http://schemas.microsoft.com/sharepoint/v3/contenttype/forms"/>
  </ds:schemaRefs>
</ds:datastoreItem>
</file>

<file path=customXml/itemProps4.xml><?xml version="1.0" encoding="utf-8"?>
<ds:datastoreItem xmlns:ds="http://schemas.openxmlformats.org/officeDocument/2006/customXml" ds:itemID="{90ABD540-E831-4371-98B5-152F64B03E9A}">
  <ds:schemaRefs>
    <ds:schemaRef ds:uri="http://schemas.microsoft.com/office/2006/metadata/properties"/>
    <ds:schemaRef ds:uri="http://schemas.microsoft.com/office/infopath/2007/PartnerControls"/>
    <ds:schemaRef ds:uri="18c12310-cec0-45af-89e4-4278154c9cc2"/>
    <ds:schemaRef ds:uri="d603c823-c8e5-4558-a031-867f95ca9115"/>
  </ds:schemaRefs>
</ds:datastoreItem>
</file>

<file path=docProps/app.xml><?xml version="1.0" encoding="utf-8"?>
<Properties xmlns="http://schemas.openxmlformats.org/officeDocument/2006/extended-properties" xmlns:vt="http://schemas.openxmlformats.org/officeDocument/2006/docPropsVTypes">
  <Template>2021_press_release_template</Template>
  <TotalTime>9</TotalTime>
  <Pages>5</Pages>
  <Words>2128</Words>
  <Characters>12562</Characters>
  <Application>Microsoft Office Word</Application>
  <DocSecurity>0</DocSecurity>
  <Lines>104</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CBRE</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Mrazova, Renata @ Prague</dc:creator>
  <cp:keywords/>
  <cp:lastModifiedBy>Denisa Kolaříková</cp:lastModifiedBy>
  <cp:revision>2</cp:revision>
  <dcterms:created xsi:type="dcterms:W3CDTF">2023-05-31T07:58:00Z</dcterms:created>
  <dcterms:modified xsi:type="dcterms:W3CDTF">2023-05-31T07:58:00Z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0x010100D037425BC85BAC47A18BE758018E6255</vt:lpwstr>
  </property>
</Properties>
</file>